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2"/>
        <w:spacing w:lineRule="atLeast" w:line="25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 w:val="false"/>
          <w:iCs w:val="false"/>
          <w:caps/>
          <w:color w:val="333333"/>
          <w:spacing w:val="0"/>
          <w:sz w:val="24"/>
          <w:szCs w:val="24"/>
          <w:lang w:val="en-US" w:eastAsia="ru-RU"/>
        </w:rPr>
        <w:t xml:space="preserve">СЛАЙД </w:t>
      </w:r>
      <w:r>
        <w:rPr>
          <w:rFonts w:ascii="Times New Roman" w:hAnsi="Times New Roman"/>
          <w:b/>
          <w:bCs/>
          <w:i w:val="false"/>
          <w:iCs w:val="false"/>
          <w:caps/>
          <w:color w:val="333333"/>
          <w:spacing w:val="0"/>
          <w:sz w:val="24"/>
          <w:szCs w:val="24"/>
          <w:lang w:val="ru-RU" w:eastAsia="ru-RU"/>
        </w:rPr>
        <w:t>1.</w:t>
      </w:r>
      <w:r>
        <w:rPr>
          <w:rFonts w:ascii="Times New Roman" w:hAnsi="Times New Roman"/>
          <w:b/>
          <w:i w:val="false"/>
          <w:caps/>
          <w:color w:val="333333"/>
          <w:spacing w:val="0"/>
          <w:sz w:val="24"/>
          <w:szCs w:val="24"/>
          <w:lang w:val="ru-RU" w:eastAsia="ru-RU"/>
        </w:rPr>
        <w:tab/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  <w:szCs w:val="24"/>
          <w:lang w:val="ru-RU" w:eastAsia="ru-RU"/>
        </w:rPr>
        <w:t xml:space="preserve">Здравствуйте. Разрешите представить доклад, посвященный исследованию </w:t>
      </w:r>
      <w:r>
        <w:rPr>
          <w:rFonts w:ascii="Times New Roman" w:hAnsi="Times New Roman"/>
          <w:b/>
          <w:i w:val="false"/>
          <w:caps/>
          <w:color w:val="333333"/>
          <w:spacing w:val="0"/>
          <w:sz w:val="24"/>
          <w:szCs w:val="24"/>
          <w:lang w:val="ru-RU" w:eastAsia="ru-RU"/>
        </w:rPr>
        <w:t xml:space="preserve">ВЛИЯНИЯ КРИСТАЛЛИЧЕСКОЙ СТРУКТУРЫ НА ЗНАЧЕНИЯ КРИТИЧЕСКОЙ ТЕМПЕРАТУРЫ И КОНСТАНТЫ ОБМЕННОГО ВЗАИМОДЕЙСТВИЯ ОБЪЕМНЫХ ФЕРРОМАГНИТНЫХ МАТЕРИАЛОВ </w:t>
      </w:r>
      <w:r>
        <w:rPr>
          <w:rFonts w:ascii="Times New Roman" w:hAnsi="Times New Roman"/>
          <w:b/>
          <w:i w:val="false"/>
          <w:caps/>
          <w:color w:val="333333"/>
          <w:spacing w:val="0"/>
          <w:sz w:val="24"/>
          <w:szCs w:val="24"/>
          <w:lang w:val="en-US" w:eastAsia="ru-RU"/>
        </w:rPr>
        <w:t>FE, CO,  NI</w:t>
      </w:r>
      <w:r>
        <w:rPr>
          <w:rFonts w:ascii="Times New Roman" w:hAnsi="Times New Roman"/>
          <w:b/>
          <w:i w:val="false"/>
          <w:caps/>
          <w:color w:val="333333"/>
          <w:spacing w:val="0"/>
          <w:sz w:val="24"/>
          <w:szCs w:val="24"/>
          <w:lang w:val="ru-RU" w:eastAsia="ru-RU"/>
        </w:rPr>
        <w:t>.</w:t>
      </w:r>
    </w:p>
    <w:p>
      <w:pPr>
        <w:pStyle w:val="Style22"/>
        <w:spacing w:lineRule="atLeast" w:line="25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 w:val="false"/>
          <w:iCs w:val="false"/>
          <w:sz w:val="24"/>
          <w:szCs w:val="24"/>
        </w:rPr>
        <w:t xml:space="preserve">СЛАЙД 2.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  <w:szCs w:val="24"/>
          <w:lang w:val="ru-RU" w:eastAsia="ru-RU"/>
        </w:rPr>
        <w:t>В ферромагнитных материалах магнитные моменты атомов направлены параллельно друг другу, если температура меньше критической.  В связи с этим в твердом теле образуются домены с большими спонтанными магнитными моментами.  Ферромагнитные пленки применяют в микроэлектронике и вычислительных устройствах в роли магнитных носителей в устройствах для хранения и записи информации.  Магнитные пленки способствуют повышению плотности записи информации и быстродействия ЗУ.</w:t>
      </w:r>
    </w:p>
    <w:p>
      <w:pPr>
        <w:pStyle w:val="Style2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  <w:szCs w:val="24"/>
          <w:lang w:val="ru-RU" w:eastAsia="ru-RU"/>
        </w:rPr>
        <w:t>Железо, никель и кобальт – типичные примеры ферромагнетиков. Изучение таких металлов дает возможность получить важные данные о магнитных свойствах ферромагнитных материалах, расширить знания во многих областях, связанных с магнетизмом.</w:t>
      </w:r>
    </w:p>
    <w:p>
      <w:pPr>
        <w:pStyle w:val="Style2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 w:val="false"/>
          <w:iCs w:val="false"/>
          <w:caps w:val="false"/>
          <w:smallCaps w:val="false"/>
          <w:color w:val="333333"/>
          <w:spacing w:val="0"/>
          <w:sz w:val="24"/>
          <w:szCs w:val="24"/>
          <w:lang w:val="ru-RU" w:eastAsia="ru-RU"/>
        </w:rPr>
        <w:t>СЛАЙД 3.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333333"/>
          <w:spacing w:val="0"/>
          <w:sz w:val="24"/>
          <w:szCs w:val="24"/>
          <w:lang w:val="ru-RU" w:eastAsia="ru-RU"/>
        </w:rPr>
        <w:tab/>
      </w:r>
      <w:r>
        <w:rPr>
          <w:rFonts w:ascii="Times New Roman" w:hAnsi="Times New Roman"/>
          <w:b w:val="false"/>
          <w:bCs/>
          <w:i w:val="false"/>
          <w:caps w:val="false"/>
          <w:smallCaps w:val="false"/>
          <w:color w:val="333333"/>
          <w:spacing w:val="0"/>
          <w:sz w:val="24"/>
          <w:szCs w:val="24"/>
          <w:lang w:val="ru-RU" w:eastAsia="ru-RU"/>
        </w:rPr>
        <w:t>Цели данной работы : 1) С помощью пакета SPR-KKR провести расчеты минимума энергии для Fe, Co, Ni в различных постоянных решетках 2) Провести расчеты спинового и орбитального магнитного момента с помощью пакета SPR-KKR 3) Провести расчеты обменного интеграла при значениях постоянной решётки с помощью пакета SPR-KKR.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b/>
          <w:bCs/>
          <w:i w:val="false"/>
          <w:iCs w:val="false"/>
          <w:caps w:val="false"/>
          <w:smallCaps w:val="false"/>
          <w:color w:val="333333"/>
          <w:spacing w:val="0"/>
          <w:sz w:val="24"/>
          <w:szCs w:val="24"/>
          <w:lang w:val="ru-RU" w:eastAsia="ru-RU"/>
        </w:rPr>
        <w:t>СЛАЙД 4.</w:t>
      </w:r>
      <w:r>
        <w:rPr>
          <w:b/>
          <w:bCs/>
          <w:i w:val="false"/>
          <w:caps w:val="false"/>
          <w:smallCaps w:val="false"/>
          <w:color w:val="333333"/>
          <w:spacing w:val="0"/>
          <w:sz w:val="24"/>
          <w:szCs w:val="24"/>
          <w:lang w:val="ru-RU" w:eastAsia="ru-RU"/>
        </w:rPr>
        <w:tab/>
      </w:r>
      <w:r>
        <w:rPr>
          <w:b w:val="false"/>
          <w:bCs/>
          <w:i w:val="false"/>
          <w:caps w:val="false"/>
          <w:smallCaps w:val="false"/>
          <w:color w:val="333333"/>
          <w:spacing w:val="0"/>
          <w:sz w:val="24"/>
          <w:szCs w:val="24"/>
          <w:lang w:val="ru-RU" w:eastAsia="ru-RU"/>
        </w:rPr>
        <w:t>Программный комплекс SPRKKR (спин-поляризованный релятивистский метод Корринги-Кона-Ростокера) выполняет неэмпирические расчеты электронной структуры трехмерных периодически упорядоченных систем в рамках теории функционала плотности.  Основан на методе Корринги-Кона-Ростокера. В пакет SPR-KKR входят две  программы: первая программа проводит самосогласованные расчеты потенциала и волновых функций многоэлектронной системы, вторая программа  вычисляет функции Грина, которые применяются для вычисления обменного интеграла.</w:t>
      </w:r>
    </w:p>
    <w:p>
      <w:pPr>
        <w:pStyle w:val="Normal"/>
        <w:rPr>
          <w:b w:val="false"/>
          <w:b w:val="false"/>
          <w:bCs/>
          <w:i w:val="false"/>
          <w:i w:val="false"/>
          <w:caps w:val="false"/>
          <w:smallCaps w:val="false"/>
          <w:color w:val="333333"/>
          <w:spacing w:val="0"/>
          <w:lang w:val="ru-RU" w:eastAsia="ru-RU"/>
        </w:rPr>
      </w:pPr>
      <w:r>
        <w:rPr>
          <w:b w:val="false"/>
          <w:bCs/>
          <w:i w:val="false"/>
          <w:caps w:val="false"/>
          <w:smallCaps w:val="false"/>
          <w:color w:val="333333"/>
          <w:spacing w:val="0"/>
          <w:lang w:val="ru-RU" w:eastAsia="ru-RU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b/>
          <w:bCs/>
          <w:i w:val="false"/>
          <w:iCs w:val="false"/>
          <w:caps w:val="false"/>
          <w:smallCaps w:val="false"/>
          <w:color w:val="333333"/>
          <w:spacing w:val="0"/>
          <w:sz w:val="24"/>
          <w:szCs w:val="24"/>
          <w:lang w:val="ru-RU" w:eastAsia="ru-RU"/>
        </w:rPr>
        <w:t>СЛАЙД 5.</w:t>
      </w:r>
      <w:r>
        <w:rPr>
          <w:b/>
          <w:bCs/>
          <w:i w:val="false"/>
          <w:caps w:val="false"/>
          <w:smallCaps w:val="false"/>
          <w:color w:val="333333"/>
          <w:spacing w:val="0"/>
          <w:sz w:val="24"/>
          <w:szCs w:val="24"/>
          <w:lang w:val="ru-RU" w:eastAsia="ru-RU"/>
        </w:rPr>
        <w:tab/>
      </w:r>
      <w:r>
        <w:rPr>
          <w:b w:val="false"/>
          <w:bCs/>
          <w:i w:val="false"/>
          <w:caps w:val="false"/>
          <w:smallCaps w:val="false"/>
          <w:color w:val="333333"/>
          <w:spacing w:val="0"/>
          <w:sz w:val="24"/>
          <w:szCs w:val="24"/>
          <w:lang w:val="ru-RU" w:eastAsia="ru-RU"/>
        </w:rPr>
        <w:t xml:space="preserve">Чтобы описать ферромагнитное или антиферромагнитное упорядочение в разных математических моделях применяют  выражение Дирака, в котором энергия пропорциональна скалярному произведению операторов спинов </w:t>
      </w: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s</m:t>
            </m:r>
          </m:e>
          <m:sub>
            <m:r>
              <w:rPr>
                <w:rFonts w:ascii="Cambria Math" w:hAnsi="Cambria Math"/>
              </w:rPr>
              <m:t xml:space="preserve">i</m:t>
            </m:r>
          </m:sub>
        </m:sSub>
      </m:oMath>
      <w:r>
        <w:rPr>
          <w:b w:val="false"/>
          <w:bCs/>
          <w:i w:val="false"/>
          <w:caps w:val="false"/>
          <w:smallCaps w:val="false"/>
          <w:color w:val="333333"/>
          <w:spacing w:val="0"/>
          <w:sz w:val="24"/>
          <w:szCs w:val="24"/>
          <w:lang w:val="ru-RU" w:eastAsia="ru-RU"/>
        </w:rPr>
        <w:t xml:space="preserve"> и  </w:t>
      </w: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s</m:t>
            </m:r>
          </m:e>
          <m:sub>
            <m:r>
              <w:rPr>
                <w:rFonts w:ascii="Cambria Math" w:hAnsi="Cambria Math"/>
              </w:rPr>
              <m:t xml:space="preserve">j</m:t>
            </m:r>
          </m:sub>
        </m:sSub>
      </m:oMath>
      <w:r>
        <w:rPr>
          <w:b w:val="false"/>
          <w:bCs/>
          <w:i w:val="false"/>
          <w:caps w:val="false"/>
          <w:smallCaps w:val="false"/>
          <w:color w:val="333333"/>
          <w:spacing w:val="0"/>
          <w:sz w:val="24"/>
          <w:szCs w:val="24"/>
          <w:lang w:val="ru-RU" w:eastAsia="ru-RU"/>
        </w:rPr>
        <w:t xml:space="preserve">, представлена на формуле 1. Знак определяет тип взаимодействия: 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J</m:t>
        </m:r>
        <m:r>
          <w:rPr>
            <w:rFonts w:ascii="Cambria Math" w:hAnsi="Cambria Math"/>
          </w:rPr>
          <m:t xml:space="preserve">&gt;</m:t>
        </m:r>
        <m:r>
          <w:rPr>
            <w:rFonts w:ascii="Cambria Math" w:hAnsi="Cambria Math"/>
          </w:rPr>
          <m:t xml:space="preserve">0</m:t>
        </m:r>
      </m:oMath>
      <w:r>
        <w:rPr>
          <w:b w:val="false"/>
          <w:bCs/>
          <w:i w:val="false"/>
          <w:caps w:val="false"/>
          <w:smallCaps w:val="false"/>
          <w:color w:val="333333"/>
          <w:spacing w:val="0"/>
          <w:sz w:val="24"/>
          <w:szCs w:val="24"/>
          <w:lang w:val="ru-RU" w:eastAsia="ru-RU"/>
        </w:rPr>
        <w:t xml:space="preserve"> ферромагнитное упорядочивание,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J</m:t>
        </m:r>
        <m:r>
          <w:rPr>
            <w:rFonts w:ascii="Cambria Math" w:hAnsi="Cambria Math"/>
          </w:rPr>
          <m:t xml:space="preserve">&lt;</m:t>
        </m:r>
        <m:r>
          <w:rPr>
            <w:rFonts w:ascii="Cambria Math" w:hAnsi="Cambria Math"/>
          </w:rPr>
          <m:t xml:space="preserve">0</m:t>
        </m:r>
      </m:oMath>
      <w:r>
        <w:rPr>
          <w:b w:val="false"/>
          <w:bCs/>
          <w:i w:val="false"/>
          <w:caps w:val="false"/>
          <w:smallCaps w:val="false"/>
          <w:color w:val="333333"/>
          <w:spacing w:val="0"/>
          <w:sz w:val="24"/>
          <w:szCs w:val="24"/>
          <w:lang w:val="ru-RU" w:eastAsia="ru-RU"/>
        </w:rPr>
        <w:t xml:space="preserve"> антиферромагнитное.</w:t>
      </w:r>
    </w:p>
    <w:p>
      <w:pPr>
        <w:pStyle w:val="Normal"/>
        <w:rPr>
          <w:b w:val="false"/>
          <w:b w:val="false"/>
          <w:bCs/>
          <w:i w:val="false"/>
          <w:i w:val="false"/>
          <w:caps w:val="false"/>
          <w:smallCaps w:val="false"/>
          <w:color w:val="333333"/>
          <w:spacing w:val="0"/>
          <w:lang w:val="ru-RU" w:eastAsia="ru-RU"/>
        </w:rPr>
      </w:pPr>
      <w:r>
        <w:rPr>
          <w:b w:val="false"/>
          <w:bCs/>
          <w:i w:val="false"/>
          <w:caps w:val="false"/>
          <w:smallCaps w:val="false"/>
          <w:color w:val="333333"/>
          <w:spacing w:val="0"/>
          <w:lang w:val="ru-RU" w:eastAsia="ru-RU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b/>
          <w:bCs/>
          <w:i w:val="false"/>
          <w:iCs w:val="false"/>
          <w:caps w:val="false"/>
          <w:smallCaps w:val="false"/>
          <w:color w:val="333333"/>
          <w:spacing w:val="0"/>
          <w:sz w:val="24"/>
          <w:szCs w:val="24"/>
          <w:lang w:val="ru-RU" w:eastAsia="ru-RU"/>
        </w:rPr>
        <w:t>СЛАЙД 6.</w:t>
      </w:r>
      <w:r>
        <w:rPr>
          <w:b/>
          <w:bCs/>
          <w:i w:val="false"/>
          <w:caps w:val="false"/>
          <w:smallCaps w:val="false"/>
          <w:color w:val="333333"/>
          <w:spacing w:val="0"/>
          <w:sz w:val="24"/>
          <w:szCs w:val="24"/>
          <w:lang w:val="ru-RU" w:eastAsia="ru-RU"/>
        </w:rPr>
        <w:tab/>
      </w:r>
      <w:r>
        <w:rPr>
          <w:b w:val="false"/>
          <w:bCs/>
          <w:i w:val="false"/>
          <w:caps w:val="false"/>
          <w:smallCaps w:val="false"/>
          <w:color w:val="333333"/>
          <w:spacing w:val="0"/>
          <w:sz w:val="24"/>
          <w:szCs w:val="24"/>
          <w:lang w:val="ru-RU" w:eastAsia="ru-RU"/>
        </w:rPr>
        <w:t xml:space="preserve">Главная суть метода ККР — определить функции Грина всей системы с неизменной энергией. Для этого задается  t - матрица, </w:t>
      </w:r>
      <w:r>
        <w:rPr>
          <w:rFonts w:eastAsia="Times New Roman" w:cs="Times New Roman"/>
          <w:b w:val="false"/>
          <w:bCs/>
          <w:i w:val="false"/>
          <w:caps w:val="false"/>
          <w:smallCaps w:val="false"/>
          <w:color w:val="333333"/>
          <w:spacing w:val="0"/>
          <w:kern w:val="0"/>
          <w:sz w:val="24"/>
          <w:szCs w:val="24"/>
          <w:lang w:val="ru-RU" w:eastAsia="ru-RU" w:bidi="ar-SA"/>
        </w:rPr>
        <w:t>описывающая</w:t>
      </w:r>
      <w:r>
        <w:rPr>
          <w:b w:val="false"/>
          <w:bCs/>
          <w:i w:val="false"/>
          <w:caps w:val="false"/>
          <w:smallCaps w:val="false"/>
          <w:color w:val="333333"/>
          <w:spacing w:val="0"/>
          <w:sz w:val="24"/>
          <w:szCs w:val="24"/>
          <w:lang w:val="ru-RU" w:eastAsia="ru-RU"/>
        </w:rPr>
        <w:t xml:space="preserve"> рассеивания от каждого индивидуального атомного рассеивателя, охарактеризованное неперекрывающимися и пространственно ограниченными потенциалами. Совместное применение уравнения Дайсона,  атомных t - матриц и структурных констант  G  позволяет задать так называемый оператор пути рассеяния </w:t>
      </w:r>
      <w:r>
        <w:rPr>
          <w:rFonts w:eastAsia="Times New Roman" w:cs="Times New Roman"/>
          <w:b w:val="false"/>
          <w:bCs/>
          <w:i w:val="false"/>
          <w:caps w:val="false"/>
          <w:smallCaps w:val="false"/>
          <w:color w:val="333333"/>
          <w:spacing w:val="0"/>
          <w:sz w:val="24"/>
          <w:szCs w:val="24"/>
          <w:lang w:val="ru-RU" w:eastAsia="ru-RU"/>
        </w:rPr>
        <w:t>τ</w:t>
      </w:r>
      <w:r>
        <w:rPr>
          <w:b w:val="false"/>
          <w:bCs/>
          <w:i w:val="false"/>
          <w:caps w:val="false"/>
          <w:smallCaps w:val="false"/>
          <w:color w:val="333333"/>
          <w:spacing w:val="0"/>
          <w:sz w:val="24"/>
          <w:szCs w:val="24"/>
          <w:lang w:val="ru-RU" w:eastAsia="ru-RU"/>
        </w:rPr>
        <w:t>.</w:t>
      </w:r>
    </w:p>
    <w:p>
      <w:pPr>
        <w:pStyle w:val="Normal"/>
        <w:rPr>
          <w:b w:val="false"/>
          <w:b w:val="false"/>
          <w:bCs/>
          <w:i w:val="false"/>
          <w:i w:val="false"/>
          <w:caps w:val="false"/>
          <w:smallCaps w:val="false"/>
          <w:color w:val="333333"/>
          <w:spacing w:val="0"/>
          <w:lang w:val="ru-RU" w:eastAsia="ru-RU"/>
        </w:rPr>
      </w:pPr>
      <w:r>
        <w:rPr>
          <w:b w:val="false"/>
          <w:bCs/>
          <w:i w:val="false"/>
          <w:caps w:val="false"/>
          <w:smallCaps w:val="false"/>
          <w:color w:val="333333"/>
          <w:spacing w:val="0"/>
          <w:lang w:val="ru-RU" w:eastAsia="ru-RU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b/>
          <w:bCs/>
          <w:i w:val="false"/>
          <w:iCs w:val="false"/>
          <w:caps w:val="false"/>
          <w:smallCaps w:val="false"/>
          <w:color w:val="333333"/>
          <w:spacing w:val="0"/>
          <w:sz w:val="24"/>
          <w:szCs w:val="24"/>
          <w:lang w:val="ru-RU" w:eastAsia="ru-RU"/>
        </w:rPr>
        <w:t>СЛАЙД 7.</w:t>
      </w:r>
      <w:r>
        <w:rPr>
          <w:b/>
          <w:bCs/>
          <w:i w:val="false"/>
          <w:caps w:val="false"/>
          <w:smallCaps w:val="false"/>
          <w:color w:val="333333"/>
          <w:spacing w:val="0"/>
          <w:sz w:val="24"/>
          <w:szCs w:val="24"/>
          <w:lang w:val="ru-RU" w:eastAsia="ru-RU"/>
        </w:rPr>
        <w:tab/>
      </w:r>
      <w:r>
        <w:rPr>
          <w:b w:val="false"/>
          <w:bCs/>
          <w:i w:val="false"/>
          <w:caps w:val="false"/>
          <w:smallCaps w:val="false"/>
          <w:color w:val="333333"/>
          <w:spacing w:val="0"/>
          <w:sz w:val="24"/>
          <w:szCs w:val="24"/>
          <w:lang w:val="ru-RU" w:eastAsia="ru-RU"/>
        </w:rPr>
        <w:t>Обменные константы входят в гамильтониан Гейзенберга, который представлен на формуле 2. В рамках ККР метода и теории многократного рассеяния можно вычислить параметры обменного взаимодействия между магнитными моментами, используя формулировку А.Лихтенштейна, представлена на формуле 3. Таким образом, параметры магнитного обменного взаимодействия полностью определяются величинами, полученными в теории многократного рассеяния. Интегрирование осуществляется по прямой линии,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b w:val="false"/>
          <w:bCs/>
          <w:i w:val="false"/>
          <w:caps w:val="false"/>
          <w:smallCaps w:val="false"/>
          <w:color w:val="333333"/>
          <w:spacing w:val="0"/>
          <w:sz w:val="24"/>
          <w:szCs w:val="24"/>
          <w:lang w:val="ru-RU" w:eastAsia="ru-RU"/>
        </w:rPr>
        <w:t xml:space="preserve">параллельной реальной оси с малой мнимой частью. Поэтому </w:t>
      </w:r>
      <w:r>
        <w:rPr>
          <w:rFonts w:eastAsia="Times New Roman" w:cs="Times New Roman"/>
          <w:b w:val="false"/>
          <w:bCs/>
          <w:i w:val="false"/>
          <w:caps w:val="false"/>
          <w:smallCaps w:val="false"/>
          <w:color w:val="333333"/>
          <w:spacing w:val="0"/>
          <w:kern w:val="0"/>
          <w:sz w:val="24"/>
          <w:szCs w:val="24"/>
          <w:lang w:val="ru-RU" w:eastAsia="ru-RU" w:bidi="ar-SA"/>
        </w:rPr>
        <w:t>сначала</w:t>
      </w:r>
      <w:r>
        <w:rPr>
          <w:b w:val="false"/>
          <w:bCs/>
          <w:i w:val="false"/>
          <w:caps w:val="false"/>
          <w:smallCaps w:val="false"/>
          <w:color w:val="333333"/>
          <w:spacing w:val="0"/>
          <w:sz w:val="24"/>
          <w:szCs w:val="24"/>
          <w:lang w:val="ru-RU" w:eastAsia="ru-RU"/>
        </w:rPr>
        <w:t xml:space="preserve"> выполняются расчеты равновесных потенциалов , а затем  параметров обменного взаимодействия.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b w:val="false"/>
          <w:bCs/>
          <w:i w:val="false"/>
          <w:caps w:val="false"/>
          <w:smallCaps w:val="false"/>
          <w:color w:val="333333"/>
          <w:spacing w:val="0"/>
          <w:sz w:val="24"/>
          <w:szCs w:val="24"/>
          <w:lang w:val="ru-RU" w:eastAsia="ru-RU"/>
        </w:rPr>
        <w:t>Полученные обменные взаимодействия действительны только в пределах малых возмущений магнитной структуры и без учета самосогласованной релаксации электронной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b w:val="false"/>
          <w:bCs/>
          <w:i w:val="false"/>
          <w:caps w:val="false"/>
          <w:smallCaps w:val="false"/>
          <w:color w:val="333333"/>
          <w:spacing w:val="0"/>
          <w:sz w:val="24"/>
          <w:szCs w:val="24"/>
          <w:lang w:val="ru-RU" w:eastAsia="ru-RU"/>
        </w:rPr>
        <w:t>структуры. Углы отклонения магнитных моментов по отношению друг к другу должны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b w:val="false"/>
          <w:bCs/>
          <w:i w:val="false"/>
          <w:caps w:val="false"/>
          <w:smallCaps w:val="false"/>
          <w:color w:val="333333"/>
          <w:spacing w:val="0"/>
          <w:sz w:val="24"/>
          <w:szCs w:val="24"/>
          <w:lang w:val="ru-RU" w:eastAsia="ru-RU"/>
        </w:rPr>
        <w:t>быть малыми.</w:t>
      </w:r>
    </w:p>
    <w:p>
      <w:pPr>
        <w:pStyle w:val="Normal"/>
        <w:rPr>
          <w:b w:val="false"/>
          <w:b w:val="false"/>
          <w:bCs/>
          <w:i w:val="false"/>
          <w:i w:val="false"/>
          <w:caps w:val="false"/>
          <w:smallCaps w:val="false"/>
          <w:color w:val="333333"/>
          <w:spacing w:val="0"/>
          <w:lang w:val="ru-RU" w:eastAsia="ru-RU"/>
        </w:rPr>
      </w:pPr>
      <w:r>
        <w:rPr>
          <w:b w:val="false"/>
          <w:bCs/>
          <w:i w:val="false"/>
          <w:caps w:val="false"/>
          <w:smallCaps w:val="false"/>
          <w:color w:val="333333"/>
          <w:spacing w:val="0"/>
          <w:lang w:val="ru-RU" w:eastAsia="ru-RU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b/>
          <w:bCs/>
          <w:i w:val="false"/>
          <w:iCs w:val="false"/>
          <w:caps w:val="false"/>
          <w:smallCaps w:val="false"/>
          <w:color w:val="333333"/>
          <w:spacing w:val="0"/>
          <w:sz w:val="24"/>
          <w:szCs w:val="24"/>
          <w:lang w:val="ru-RU" w:eastAsia="ru-RU"/>
        </w:rPr>
        <w:t>СЛАЙД 8.</w:t>
      </w:r>
      <w:r>
        <w:rPr>
          <w:b/>
          <w:bCs/>
          <w:i w:val="false"/>
          <w:caps w:val="false"/>
          <w:smallCaps w:val="false"/>
          <w:color w:val="333333"/>
          <w:spacing w:val="0"/>
          <w:sz w:val="24"/>
          <w:szCs w:val="24"/>
          <w:lang w:val="ru-RU" w:eastAsia="ru-RU"/>
        </w:rPr>
        <w:tab/>
      </w:r>
      <w:r>
        <w:rPr>
          <w:b w:val="false"/>
          <w:bCs/>
          <w:i w:val="false"/>
          <w:caps w:val="false"/>
          <w:smallCaps w:val="false"/>
          <w:color w:val="333333"/>
          <w:spacing w:val="0"/>
          <w:sz w:val="24"/>
          <w:szCs w:val="24"/>
          <w:lang w:val="ru-RU" w:eastAsia="ru-RU"/>
        </w:rPr>
        <w:t xml:space="preserve"> В таблице 1 и 2 представлены результаты расчетов спинового и орбитального магнитных моментов для </w:t>
      </w:r>
      <w:r>
        <w:rPr>
          <w:b w:val="false"/>
          <w:bCs/>
          <w:i w:val="false"/>
          <w:caps w:val="false"/>
          <w:smallCaps w:val="false"/>
          <w:color w:val="333333"/>
          <w:spacing w:val="0"/>
          <w:sz w:val="24"/>
          <w:szCs w:val="24"/>
          <w:lang w:val="en-US" w:eastAsia="ru-RU"/>
        </w:rPr>
        <w:t xml:space="preserve">Co </w:t>
      </w:r>
      <w:r>
        <w:rPr>
          <w:b w:val="false"/>
          <w:bCs/>
          <w:i w:val="false"/>
          <w:caps w:val="false"/>
          <w:smallCaps w:val="false"/>
          <w:color w:val="333333"/>
          <w:spacing w:val="0"/>
          <w:sz w:val="24"/>
          <w:szCs w:val="24"/>
          <w:lang w:val="ru-RU" w:eastAsia="ru-RU"/>
        </w:rPr>
        <w:t xml:space="preserve">и </w:t>
      </w:r>
      <w:r>
        <w:rPr>
          <w:b w:val="false"/>
          <w:bCs/>
          <w:i w:val="false"/>
          <w:caps w:val="false"/>
          <w:smallCaps w:val="false"/>
          <w:color w:val="333333"/>
          <w:spacing w:val="0"/>
          <w:sz w:val="24"/>
          <w:szCs w:val="24"/>
          <w:lang w:val="en-US" w:eastAsia="ru-RU"/>
        </w:rPr>
        <w:t xml:space="preserve">Fe, </w:t>
      </w:r>
      <w:r>
        <w:rPr>
          <w:b w:val="false"/>
          <w:bCs/>
          <w:i w:val="false"/>
          <w:caps w:val="false"/>
          <w:smallCaps w:val="false"/>
          <w:color w:val="333333"/>
          <w:spacing w:val="0"/>
          <w:sz w:val="24"/>
          <w:szCs w:val="24"/>
          <w:lang w:val="ru-RU" w:eastAsia="ru-RU"/>
        </w:rPr>
        <w:t xml:space="preserve">соответственно. Из таблиц видно, что постоянная решетки металла </w:t>
      </w:r>
      <w:r>
        <w:rPr>
          <w:b w:val="false"/>
          <w:bCs/>
          <w:i w:val="false"/>
          <w:caps w:val="false"/>
          <w:smallCaps w:val="false"/>
          <w:color w:val="333333"/>
          <w:spacing w:val="0"/>
          <w:sz w:val="24"/>
          <w:szCs w:val="24"/>
          <w:lang w:val="en-US" w:eastAsia="ru-RU"/>
        </w:rPr>
        <w:t xml:space="preserve">Co </w:t>
      </w:r>
      <w:r>
        <w:rPr>
          <w:b w:val="false"/>
          <w:bCs/>
          <w:i w:val="false"/>
          <w:caps w:val="false"/>
          <w:smallCaps w:val="false"/>
          <w:color w:val="333333"/>
          <w:spacing w:val="0"/>
          <w:sz w:val="24"/>
          <w:szCs w:val="24"/>
          <w:lang w:val="ru-RU" w:eastAsia="ru-RU"/>
        </w:rPr>
        <w:t xml:space="preserve">меняется в </w:t>
      </w:r>
      <w:r>
        <w:rPr>
          <w:b w:val="false"/>
          <w:bCs/>
          <w:i w:val="false"/>
          <w:caps w:val="false"/>
          <w:smallCaps w:val="false"/>
          <w:color w:val="333333"/>
          <w:spacing w:val="0"/>
          <w:sz w:val="24"/>
          <w:szCs w:val="24"/>
          <w:lang w:val="en-US" w:eastAsia="ru-RU"/>
        </w:rPr>
        <w:t xml:space="preserve">PBE </w:t>
      </w:r>
      <w:r>
        <w:rPr>
          <w:b w:val="false"/>
          <w:bCs/>
          <w:i w:val="false"/>
          <w:caps w:val="false"/>
          <w:smallCaps w:val="false"/>
          <w:color w:val="333333"/>
          <w:spacing w:val="0"/>
          <w:sz w:val="24"/>
          <w:szCs w:val="24"/>
          <w:lang w:val="ru-RU" w:eastAsia="ru-RU"/>
        </w:rPr>
        <w:t xml:space="preserve">приближении, в остальных же приближениях обменно-корреляционного потенциала постоянная решетки </w:t>
      </w:r>
      <w:r>
        <w:rPr>
          <w:b w:val="false"/>
          <w:bCs/>
          <w:i w:val="false"/>
          <w:caps w:val="false"/>
          <w:smallCaps w:val="false"/>
          <w:color w:val="333333"/>
          <w:spacing w:val="0"/>
          <w:sz w:val="24"/>
          <w:szCs w:val="24"/>
          <w:lang w:val="en-US" w:eastAsia="ru-RU"/>
        </w:rPr>
        <w:t xml:space="preserve">Co </w:t>
      </w:r>
      <w:r>
        <w:rPr>
          <w:b w:val="false"/>
          <w:bCs/>
          <w:i w:val="false"/>
          <w:caps w:val="false"/>
          <w:smallCaps w:val="false"/>
          <w:color w:val="333333"/>
          <w:spacing w:val="0"/>
          <w:sz w:val="24"/>
          <w:szCs w:val="24"/>
          <w:lang w:val="ru-RU" w:eastAsia="ru-RU"/>
        </w:rPr>
        <w:t>остается неизменной.</w:t>
      </w:r>
    </w:p>
    <w:p>
      <w:pPr>
        <w:pStyle w:val="Normal"/>
        <w:rPr>
          <w:b w:val="false"/>
          <w:b w:val="false"/>
          <w:bCs/>
          <w:i w:val="false"/>
          <w:i w:val="false"/>
          <w:caps w:val="false"/>
          <w:smallCaps w:val="false"/>
          <w:color w:val="333333"/>
          <w:spacing w:val="0"/>
          <w:lang w:val="ru-RU" w:eastAsia="ru-RU"/>
        </w:rPr>
      </w:pPr>
      <w:r>
        <w:rPr>
          <w:b w:val="false"/>
          <w:bCs/>
          <w:i w:val="false"/>
          <w:caps w:val="false"/>
          <w:smallCaps w:val="false"/>
          <w:color w:val="333333"/>
          <w:spacing w:val="0"/>
          <w:lang w:val="ru-RU" w:eastAsia="ru-RU"/>
        </w:rPr>
      </w:r>
    </w:p>
    <w:p>
      <w:pPr>
        <w:pStyle w:val="Normal"/>
        <w:rPr/>
      </w:pPr>
      <w:r>
        <w:rPr>
          <w:b/>
          <w:bCs/>
          <w:i w:val="false"/>
          <w:iCs w:val="false"/>
          <w:caps w:val="false"/>
          <w:smallCaps w:val="false"/>
          <w:color w:val="333333"/>
          <w:spacing w:val="0"/>
          <w:sz w:val="24"/>
          <w:szCs w:val="24"/>
          <w:lang w:val="ru-RU" w:eastAsia="ru-RU"/>
        </w:rPr>
        <w:t>СЛАЙД 9.</w:t>
      </w:r>
      <w:r>
        <w:rPr>
          <w:b/>
          <w:bCs/>
          <w:i w:val="false"/>
          <w:caps w:val="false"/>
          <w:smallCaps w:val="false"/>
          <w:color w:val="333333"/>
          <w:spacing w:val="0"/>
          <w:sz w:val="24"/>
          <w:szCs w:val="24"/>
          <w:lang w:val="ru-RU" w:eastAsia="ru-RU"/>
        </w:rPr>
        <w:tab/>
      </w:r>
      <w:r>
        <w:rPr>
          <w:b w:val="false"/>
          <w:bCs/>
          <w:i w:val="false"/>
          <w:caps w:val="false"/>
          <w:smallCaps w:val="false"/>
          <w:color w:val="333333"/>
          <w:spacing w:val="0"/>
          <w:sz w:val="24"/>
          <w:szCs w:val="24"/>
          <w:lang w:val="ru-RU" w:eastAsia="ru-RU"/>
        </w:rPr>
        <w:t xml:space="preserve">В таблице 3 также представлены  результаты расчетов спинового и орбитального магнитных моментов для </w:t>
      </w:r>
      <w:r>
        <w:rPr>
          <w:b w:val="false"/>
          <w:bCs/>
          <w:i w:val="false"/>
          <w:caps w:val="false"/>
          <w:smallCaps w:val="false"/>
          <w:color w:val="333333"/>
          <w:spacing w:val="0"/>
          <w:sz w:val="24"/>
          <w:szCs w:val="24"/>
          <w:lang w:val="en-US" w:eastAsia="ru-RU"/>
        </w:rPr>
        <w:t xml:space="preserve">Ni. </w:t>
      </w:r>
      <w:r>
        <w:rPr>
          <w:b w:val="false"/>
          <w:bCs/>
          <w:i w:val="false"/>
          <w:caps w:val="false"/>
          <w:smallCaps w:val="false"/>
          <w:color w:val="333333"/>
          <w:spacing w:val="0"/>
          <w:sz w:val="24"/>
          <w:szCs w:val="24"/>
          <w:lang w:val="ru-RU" w:eastAsia="ru-RU"/>
        </w:rPr>
        <w:t xml:space="preserve">Из таблицы видно, что </w:t>
      </w:r>
      <w:r>
        <w:rPr>
          <w:b w:val="false"/>
          <w:bCs/>
          <w:i w:val="false"/>
          <w:caps w:val="false"/>
          <w:smallCaps w:val="false"/>
          <w:color w:val="333333"/>
          <w:spacing w:val="0"/>
          <w:sz w:val="24"/>
          <w:szCs w:val="24"/>
          <w:lang w:val="en-US" w:eastAsia="ru-RU"/>
        </w:rPr>
        <w:t>Ni</w:t>
      </w:r>
      <w:r>
        <w:rPr>
          <w:b w:val="false"/>
          <w:bCs/>
          <w:i w:val="false"/>
          <w:caps w:val="false"/>
          <w:smallCaps w:val="false"/>
          <w:color w:val="333333"/>
          <w:spacing w:val="0"/>
          <w:sz w:val="24"/>
          <w:szCs w:val="24"/>
          <w:lang w:val="ru-RU" w:eastAsia="ru-RU"/>
        </w:rPr>
        <w:t xml:space="preserve"> в простой кубической решетке является немагнитным, т.к. значения магнитных моментов равны нулю. </w:t>
      </w:r>
      <w:r>
        <w:rPr>
          <w:b w:val="false"/>
          <w:bCs/>
          <w:i w:val="false"/>
          <w:caps w:val="false"/>
          <w:smallCaps w:val="false"/>
          <w:color w:val="333333"/>
          <w:spacing w:val="0"/>
          <w:sz w:val="24"/>
          <w:szCs w:val="24"/>
          <w:lang w:val="ru-RU" w:eastAsia="ru-RU"/>
        </w:rPr>
        <w:t xml:space="preserve">Из таблиц 1, 2, 3, видно, что лучше использовать </w:t>
      </w:r>
      <w:r>
        <w:rPr>
          <w:b w:val="false"/>
          <w:bCs/>
          <w:i w:val="false"/>
          <w:caps w:val="false"/>
          <w:smallCaps w:val="false"/>
          <w:color w:val="333333"/>
          <w:spacing w:val="0"/>
          <w:sz w:val="24"/>
          <w:szCs w:val="24"/>
          <w:lang w:val="en-US" w:eastAsia="ru-RU"/>
        </w:rPr>
        <w:t xml:space="preserve">PBE </w:t>
      </w:r>
      <w:r>
        <w:rPr>
          <w:b w:val="false"/>
          <w:bCs/>
          <w:i w:val="false"/>
          <w:caps w:val="false"/>
          <w:smallCaps w:val="false"/>
          <w:color w:val="333333"/>
          <w:spacing w:val="0"/>
          <w:sz w:val="24"/>
          <w:szCs w:val="24"/>
          <w:lang w:val="ru-RU" w:eastAsia="ru-RU"/>
        </w:rPr>
        <w:t xml:space="preserve">приближение, т. к. полученные значения приближены к экспериментальным. </w:t>
      </w:r>
    </w:p>
    <w:p>
      <w:pPr>
        <w:pStyle w:val="Normal"/>
        <w:rPr>
          <w:b w:val="false"/>
          <w:b w:val="false"/>
          <w:bCs/>
          <w:i w:val="false"/>
          <w:i w:val="false"/>
          <w:caps w:val="false"/>
          <w:smallCaps w:val="false"/>
          <w:color w:val="333333"/>
          <w:spacing w:val="0"/>
          <w:lang w:val="ru-RU" w:eastAsia="ru-RU"/>
        </w:rPr>
      </w:pPr>
      <w:r>
        <w:rPr>
          <w:b w:val="false"/>
          <w:bCs/>
          <w:i w:val="false"/>
          <w:caps w:val="false"/>
          <w:smallCaps w:val="false"/>
          <w:color w:val="333333"/>
          <w:spacing w:val="0"/>
          <w:lang w:val="ru-RU" w:eastAsia="ru-RU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b/>
          <w:bCs/>
          <w:i w:val="false"/>
          <w:iCs w:val="false"/>
          <w:caps w:val="false"/>
          <w:smallCaps w:val="false"/>
          <w:color w:val="333333"/>
          <w:spacing w:val="0"/>
          <w:sz w:val="24"/>
          <w:szCs w:val="24"/>
          <w:lang w:val="ru-RU" w:eastAsia="ru-RU"/>
        </w:rPr>
        <w:t>СЛАЙД 10.</w:t>
      </w:r>
      <w:r>
        <w:rPr>
          <w:b/>
          <w:bCs/>
          <w:i w:val="false"/>
          <w:caps w:val="false"/>
          <w:smallCaps w:val="false"/>
          <w:color w:val="333333"/>
          <w:spacing w:val="0"/>
          <w:sz w:val="24"/>
          <w:szCs w:val="24"/>
          <w:lang w:val="ru-RU" w:eastAsia="ru-RU"/>
        </w:rPr>
        <w:tab/>
      </w:r>
      <w:r>
        <w:rPr>
          <w:b w:val="false"/>
          <w:bCs/>
          <w:i w:val="false"/>
          <w:caps w:val="false"/>
          <w:smallCaps w:val="false"/>
          <w:color w:val="333333"/>
          <w:spacing w:val="0"/>
          <w:sz w:val="24"/>
          <w:szCs w:val="24"/>
          <w:lang w:val="ru-RU" w:eastAsia="ru-RU"/>
        </w:rPr>
        <w:t xml:space="preserve">В таблице 4 показаны результаты расчетов обменных интегралов для </w:t>
      </w:r>
      <w:r>
        <w:rPr>
          <w:b w:val="false"/>
          <w:bCs/>
          <w:i w:val="false"/>
          <w:caps w:val="false"/>
          <w:smallCaps w:val="false"/>
          <w:color w:val="333333"/>
          <w:spacing w:val="0"/>
          <w:sz w:val="24"/>
          <w:szCs w:val="24"/>
          <w:lang w:val="en-US" w:eastAsia="ru-RU"/>
        </w:rPr>
        <w:t xml:space="preserve">Co, Fe, Ni </w:t>
      </w:r>
      <w:r>
        <w:rPr>
          <w:b w:val="false"/>
          <w:bCs/>
          <w:i w:val="false"/>
          <w:caps w:val="false"/>
          <w:smallCaps w:val="false"/>
          <w:color w:val="333333"/>
          <w:spacing w:val="0"/>
          <w:sz w:val="24"/>
          <w:szCs w:val="24"/>
          <w:lang w:val="ru-RU" w:eastAsia="ru-RU"/>
        </w:rPr>
        <w:t>в различны</w:t>
      </w:r>
      <w:r>
        <w:rPr>
          <w:rFonts w:eastAsia="Times New Roman" w:cs="Times New Roman"/>
          <w:b w:val="false"/>
          <w:bCs/>
          <w:i w:val="false"/>
          <w:caps w:val="false"/>
          <w:smallCaps w:val="false"/>
          <w:color w:val="333333"/>
          <w:spacing w:val="0"/>
          <w:kern w:val="0"/>
          <w:sz w:val="24"/>
          <w:szCs w:val="24"/>
          <w:lang w:val="ru-RU" w:eastAsia="ru-RU" w:bidi="ar-SA"/>
        </w:rPr>
        <w:t>х</w:t>
      </w:r>
      <w:r>
        <w:rPr>
          <w:b w:val="false"/>
          <w:bCs/>
          <w:i w:val="false"/>
          <w:caps w:val="false"/>
          <w:smallCaps w:val="false"/>
          <w:color w:val="333333"/>
          <w:spacing w:val="0"/>
          <w:sz w:val="24"/>
          <w:szCs w:val="24"/>
          <w:lang w:val="ru-RU" w:eastAsia="ru-RU"/>
        </w:rPr>
        <w:t xml:space="preserve"> приближениях обменно-корреляционного потенциала в теории среднего поля и в теории Гейзенберга. Как видно из данной таблицы для всех металлов обменное взаимодействие носит ферромагнитный характер. Также значения констант обменного взаимодействия у Co, Fe, Ni в теории Гейзенберга меньше, чем в теории среднего поля. Самое большое значение критической температуры </w:t>
      </w: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T</m:t>
            </m:r>
          </m:e>
          <m:sub>
            <m:r>
              <w:rPr>
                <w:rFonts w:ascii="Cambria Math" w:hAnsi="Cambria Math"/>
              </w:rPr>
              <m:t xml:space="preserve">c</m:t>
            </m:r>
          </m:sub>
        </m:sSub>
      </m:oMath>
      <w:r>
        <w:rPr>
          <w:b w:val="false"/>
          <w:bCs/>
          <w:i w:val="false"/>
          <w:caps w:val="false"/>
          <w:smallCaps w:val="false"/>
          <w:color w:val="333333"/>
          <w:spacing w:val="0"/>
          <w:sz w:val="24"/>
          <w:szCs w:val="24"/>
          <w:lang w:val="ru-RU" w:eastAsia="ru-RU"/>
        </w:rPr>
        <w:t xml:space="preserve"> у Co. </w:t>
      </w:r>
      <w:r>
        <w:rPr>
          <w:b w:val="false"/>
          <w:bCs/>
          <w:i w:val="false"/>
          <w:caps w:val="false"/>
          <w:smallCaps w:val="false"/>
          <w:color w:val="333333"/>
          <w:spacing w:val="0"/>
          <w:sz w:val="24"/>
          <w:szCs w:val="24"/>
          <w:lang w:val="en-US" w:eastAsia="ru-RU"/>
        </w:rPr>
        <w:t>Ni</w:t>
      </w:r>
      <w:r>
        <w:rPr>
          <w:b w:val="false"/>
          <w:bCs/>
          <w:i w:val="false"/>
          <w:caps w:val="false"/>
          <w:smallCaps w:val="false"/>
          <w:color w:val="333333"/>
          <w:spacing w:val="0"/>
          <w:sz w:val="24"/>
          <w:szCs w:val="24"/>
          <w:lang w:val="ru-RU" w:eastAsia="ru-RU"/>
        </w:rPr>
        <w:t xml:space="preserve"> в простой кубической решетке является немагнитным.</w:t>
      </w:r>
    </w:p>
    <w:p>
      <w:pPr>
        <w:pStyle w:val="Normal"/>
        <w:rPr>
          <w:b w:val="false"/>
          <w:b w:val="false"/>
          <w:bCs/>
          <w:i w:val="false"/>
          <w:i w:val="false"/>
          <w:caps w:val="false"/>
          <w:smallCaps w:val="false"/>
          <w:color w:val="333333"/>
          <w:spacing w:val="0"/>
          <w:lang w:val="ru-RU" w:eastAsia="ru-RU"/>
        </w:rPr>
      </w:pPr>
      <w:r>
        <w:rPr>
          <w:b w:val="false"/>
          <w:bCs/>
          <w:i w:val="false"/>
          <w:caps w:val="false"/>
          <w:smallCaps w:val="false"/>
          <w:color w:val="333333"/>
          <w:spacing w:val="0"/>
          <w:lang w:val="ru-RU" w:eastAsia="ru-RU"/>
        </w:rPr>
      </w:r>
    </w:p>
    <w:p>
      <w:pPr>
        <w:pStyle w:val="Normal"/>
        <w:rPr/>
      </w:pPr>
      <w:r>
        <w:rPr>
          <w:b/>
          <w:bCs/>
          <w:i w:val="false"/>
          <w:iCs w:val="false"/>
          <w:caps w:val="false"/>
          <w:smallCaps w:val="false"/>
          <w:color w:val="333333"/>
          <w:spacing w:val="0"/>
          <w:sz w:val="24"/>
          <w:szCs w:val="24"/>
          <w:lang w:val="ru-RU" w:eastAsia="ru-RU"/>
        </w:rPr>
        <w:t>СЛАЙД 11.</w:t>
      </w:r>
      <w:r>
        <w:rPr>
          <w:b/>
          <w:bCs/>
          <w:i w:val="false"/>
          <w:caps w:val="false"/>
          <w:smallCaps w:val="false"/>
          <w:color w:val="333333"/>
          <w:spacing w:val="0"/>
          <w:sz w:val="24"/>
          <w:szCs w:val="24"/>
          <w:lang w:val="ru-RU" w:eastAsia="ru-RU"/>
        </w:rPr>
        <w:tab/>
      </w:r>
      <w:r>
        <w:rPr>
          <w:b w:val="false"/>
          <w:bCs/>
          <w:i w:val="false"/>
          <w:caps w:val="false"/>
          <w:smallCaps w:val="false"/>
          <w:color w:val="333333"/>
          <w:spacing w:val="0"/>
          <w:sz w:val="24"/>
          <w:szCs w:val="24"/>
          <w:lang w:val="ru-RU" w:eastAsia="ru-RU"/>
        </w:rPr>
        <w:t xml:space="preserve">На рисунке 2 представлена зависимость параметров обменных интегралов </w:t>
      </w: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J</m:t>
            </m:r>
          </m:e>
          <m:sub>
            <m:r>
              <w:rPr>
                <w:rFonts w:ascii="Cambria Math" w:hAnsi="Cambria Math"/>
              </w:rPr>
              <m:t xml:space="preserve">ij</m:t>
            </m:r>
          </m:sub>
        </m:sSub>
      </m:oMath>
      <w:r>
        <w:rPr>
          <w:b w:val="false"/>
          <w:bCs/>
          <w:i w:val="false"/>
          <w:caps w:val="false"/>
          <w:smallCaps w:val="false"/>
          <w:color w:val="333333"/>
          <w:spacing w:val="0"/>
          <w:sz w:val="24"/>
          <w:szCs w:val="24"/>
          <w:lang w:val="ru-RU" w:eastAsia="ru-RU"/>
        </w:rPr>
        <w:t xml:space="preserve">от расстояния между атомами </w:t>
      </w:r>
      <w:r>
        <w:rPr>
          <w:b w:val="false"/>
          <w:bCs/>
          <w:i w:val="false"/>
          <w:caps w:val="false"/>
          <w:smallCaps w:val="false"/>
          <w:color w:val="333333"/>
          <w:spacing w:val="0"/>
          <w:sz w:val="24"/>
          <w:szCs w:val="24"/>
          <w:lang w:val="en-US" w:eastAsia="ru-RU"/>
        </w:rPr>
        <w:t xml:space="preserve">R/a. </w:t>
      </w:r>
      <w:r>
        <w:rPr>
          <w:b w:val="false"/>
          <w:bCs/>
          <w:i w:val="false"/>
          <w:caps w:val="false"/>
          <w:smallCaps w:val="false"/>
          <w:color w:val="333333"/>
          <w:spacing w:val="0"/>
          <w:sz w:val="24"/>
          <w:szCs w:val="24"/>
          <w:lang w:val="ru-RU" w:eastAsia="ru-RU"/>
        </w:rPr>
        <w:t xml:space="preserve">Из рисунка следует, что следует, что постоянные обменного взаимодействия  практически не меняются с увеличением расстояния  R/a. В теории среднего поля наибольшее значение  у Fe, наименьшее – у Ni. В теории Гейзенберга наибольшее значение  у Fe, а у Co и Ni существенно не отличаются. </w:t>
      </w:r>
      <w:r>
        <w:rPr>
          <w:b w:val="false"/>
          <w:bCs/>
          <w:i w:val="false"/>
          <w:caps w:val="false"/>
          <w:smallCaps w:val="false"/>
          <w:color w:val="333333"/>
          <w:spacing w:val="0"/>
          <w:sz w:val="24"/>
          <w:szCs w:val="24"/>
          <w:lang w:val="ru-RU" w:eastAsia="ru-RU"/>
        </w:rPr>
        <w:t xml:space="preserve">Обменное взаимодействие следующего за ближайшими соседями необходимо учитывать для Fе, в то время как для </w:t>
      </w:r>
      <w:r>
        <w:rPr>
          <w:b w:val="false"/>
          <w:bCs/>
          <w:i w:val="false"/>
          <w:caps w:val="false"/>
          <w:smallCaps w:val="false"/>
          <w:color w:val="333333"/>
          <w:spacing w:val="0"/>
          <w:sz w:val="24"/>
          <w:szCs w:val="24"/>
          <w:lang w:val="en-US" w:eastAsia="ru-RU"/>
        </w:rPr>
        <w:t xml:space="preserve">Ni </w:t>
      </w:r>
      <w:r>
        <w:rPr>
          <w:b w:val="false"/>
          <w:bCs/>
          <w:i w:val="false"/>
          <w:caps w:val="false"/>
          <w:smallCaps w:val="false"/>
          <w:color w:val="333333"/>
          <w:spacing w:val="0"/>
          <w:sz w:val="24"/>
          <w:szCs w:val="24"/>
          <w:lang w:val="ru-RU" w:eastAsia="ru-RU"/>
        </w:rPr>
        <w:t xml:space="preserve">и </w:t>
      </w:r>
      <w:r>
        <w:rPr>
          <w:b w:val="false"/>
          <w:bCs/>
          <w:i w:val="false"/>
          <w:caps w:val="false"/>
          <w:smallCaps w:val="false"/>
          <w:color w:val="333333"/>
          <w:spacing w:val="0"/>
          <w:sz w:val="24"/>
          <w:szCs w:val="24"/>
          <w:lang w:val="en-US" w:eastAsia="ru-RU"/>
        </w:rPr>
        <w:t xml:space="preserve">Co </w:t>
      </w:r>
      <w:r>
        <w:rPr>
          <w:b w:val="false"/>
          <w:bCs/>
          <w:i w:val="false"/>
          <w:caps w:val="false"/>
          <w:smallCaps w:val="false"/>
          <w:color w:val="333333"/>
          <w:spacing w:val="0"/>
          <w:sz w:val="24"/>
          <w:szCs w:val="24"/>
          <w:lang w:val="ru-RU" w:eastAsia="ru-RU"/>
        </w:rPr>
        <w:t>можно пренебречь.</w:t>
      </w:r>
    </w:p>
    <w:p>
      <w:pPr>
        <w:pStyle w:val="Normal"/>
        <w:rPr>
          <w:b w:val="false"/>
          <w:b w:val="false"/>
          <w:bCs/>
          <w:i w:val="false"/>
          <w:i w:val="false"/>
          <w:caps w:val="false"/>
          <w:smallCaps w:val="false"/>
          <w:color w:val="000000"/>
          <w:spacing w:val="0"/>
          <w:lang w:val="ru-RU" w:eastAsia="ru-RU"/>
        </w:rPr>
      </w:pPr>
      <w:r>
        <w:rPr>
          <w:b w:val="false"/>
          <w:bCs/>
          <w:i w:val="false"/>
          <w:caps w:val="false"/>
          <w:smallCaps w:val="false"/>
          <w:color w:val="000000"/>
          <w:spacing w:val="0"/>
          <w:lang w:val="ru-RU" w:eastAsia="ru-RU"/>
        </w:rPr>
      </w:r>
    </w:p>
    <w:p>
      <w:pPr>
        <w:pStyle w:val="Normal"/>
        <w:rPr/>
      </w:pPr>
      <w:r>
        <w:rPr>
          <w:b/>
          <w:bCs/>
          <w:i w:val="false"/>
          <w:iCs w:val="false"/>
          <w:caps w:val="false"/>
          <w:smallCaps w:val="false"/>
          <w:color w:val="333333"/>
          <w:spacing w:val="0"/>
          <w:sz w:val="24"/>
          <w:szCs w:val="24"/>
          <w:lang w:val="ru-RU" w:eastAsia="ru-RU"/>
        </w:rPr>
        <w:t>СЛАЙД 12.</w:t>
      </w:r>
      <w:r>
        <w:rPr>
          <w:b/>
          <w:bCs/>
          <w:i w:val="false"/>
          <w:caps w:val="false"/>
          <w:smallCaps w:val="false"/>
          <w:color w:val="333333"/>
          <w:spacing w:val="0"/>
          <w:sz w:val="24"/>
          <w:szCs w:val="24"/>
          <w:lang w:val="ru-RU" w:eastAsia="ru-RU"/>
        </w:rPr>
        <w:tab/>
      </w:r>
      <w:r>
        <w:rPr>
          <w:b w:val="false"/>
          <w:bCs/>
          <w:i w:val="false"/>
          <w:caps w:val="false"/>
          <w:smallCaps w:val="false"/>
          <w:color w:val="333333"/>
          <w:spacing w:val="0"/>
          <w:sz w:val="24"/>
          <w:szCs w:val="24"/>
          <w:lang w:val="ru-RU" w:eastAsia="ru-RU"/>
        </w:rPr>
        <w:t xml:space="preserve">По результатам расчетов, проведенных в данной работе, можно сделать следующие выводы: для всех металлов обменное взаимодействие носит ферромагнитный характер; самое большое значение критической температуры </w:t>
      </w: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T</m:t>
            </m:r>
          </m:e>
          <m:sub>
            <m:r>
              <w:rPr>
                <w:rFonts w:ascii="Cambria Math" w:hAnsi="Cambria Math"/>
              </w:rPr>
              <m:t xml:space="preserve">c</m:t>
            </m:r>
          </m:sub>
        </m:sSub>
      </m:oMath>
      <w:r>
        <w:rPr>
          <w:b w:val="false"/>
          <w:bCs/>
          <w:i w:val="false"/>
          <w:caps w:val="false"/>
          <w:smallCaps w:val="false"/>
          <w:color w:val="333333"/>
          <w:spacing w:val="0"/>
          <w:sz w:val="24"/>
          <w:szCs w:val="24"/>
          <w:lang w:val="ru-RU" w:eastAsia="ru-RU"/>
        </w:rPr>
        <w:t xml:space="preserve"> у Co; значения констант обменного взаимодействия у Co, Fe, Ni в теории Гейзенберга меньше, чем в теории среднего поля; в простой кубической решетке Ni является немагнитным; постоянные обменного взаимодействия</w:t>
      </w: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J</m:t>
            </m:r>
          </m:e>
          <m:sub>
            <m:r>
              <w:rPr>
                <w:rFonts w:ascii="Cambria Math" w:hAnsi="Cambria Math"/>
              </w:rPr>
              <m:t xml:space="preserve">ij</m:t>
            </m:r>
          </m:sub>
        </m:sSub>
      </m:oMath>
      <w:r>
        <w:rPr>
          <w:b w:val="false"/>
          <w:bCs/>
          <w:i w:val="false"/>
          <w:caps w:val="false"/>
          <w:smallCaps w:val="false"/>
          <w:color w:val="333333"/>
          <w:spacing w:val="0"/>
          <w:sz w:val="24"/>
          <w:szCs w:val="24"/>
          <w:lang w:val="ru-RU" w:eastAsia="ru-RU"/>
        </w:rPr>
        <w:t xml:space="preserve">практически не меняются с увеличением расстояния  R/a </w:t>
      </w:r>
    </w:p>
    <w:sectPr>
      <w:footerReference w:type="default" r:id="rId2"/>
      <w:type w:val="nextPage"/>
      <w:pgSz w:w="11906" w:h="16838"/>
      <w:pgMar w:left="1418" w:right="851" w:header="0" w:top="1418" w:footer="709" w:bottom="1276" w:gutter="0"/>
      <w:pgNumType w:fmt="decimal"/>
      <w:formProt w:val="false"/>
      <w:textDirection w:val="lrTb"/>
      <w:docGrid w:type="default" w:linePitch="360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alibri">
    <w:charset w:val="cc"/>
    <w:family w:val="roman"/>
    <w:pitch w:val="variable"/>
  </w:font>
  <w:font w:name="Courier New">
    <w:charset w:val="cc"/>
    <w:family w:val="roman"/>
    <w:pitch w:val="variable"/>
  </w:font>
  <w:font w:name="Bookman Old Style">
    <w:charset w:val="cc"/>
    <w:family w:val="roman"/>
    <w:pitch w:val="variable"/>
  </w:font>
  <w:font w:name="Tahoma">
    <w:charset w:val="cc"/>
    <w:family w:val="roman"/>
    <w:pitch w:val="variable"/>
  </w:font>
  <w:font w:name="NewtonTT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          New Roman">
    <w:altName w:val="serif"/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9"/>
      <w:jc w:val="center"/>
      <w:rPr/>
    </w:pPr>
    <w:r>
      <w:rPr/>
    </w:r>
  </w:p>
  <w:p>
    <w:pPr>
      <w:pStyle w:val="Style29"/>
      <w:rPr/>
    </w:pPr>
    <w:r>
      <w:rPr/>
    </w:r>
  </w:p>
</w:ftr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57c55"/>
    <w:pPr>
      <w:widowControl/>
      <w:overflowPunct w:val="fals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ar-SA" w:bidi="ar-SA"/>
    </w:rPr>
  </w:style>
  <w:style w:type="paragraph" w:styleId="1" w:customStyle="1">
    <w:name w:val="Heading 1"/>
    <w:basedOn w:val="Normal"/>
    <w:qFormat/>
    <w:rsid w:val="00157c55"/>
    <w:pPr>
      <w:keepNext w:val="true"/>
      <w:spacing w:before="240" w:after="60"/>
      <w:outlineLvl w:val="0"/>
    </w:pPr>
    <w:rPr>
      <w:rFonts w:ascii="Arial" w:hAnsi="Arial"/>
      <w:b/>
      <w:bCs/>
      <w:kern w:val="2"/>
      <w:sz w:val="32"/>
      <w:szCs w:val="32"/>
    </w:rPr>
  </w:style>
  <w:style w:type="paragraph" w:styleId="4" w:customStyle="1">
    <w:name w:val="Heading 4"/>
    <w:basedOn w:val="Normal"/>
    <w:qFormat/>
    <w:rsid w:val="00157c55"/>
    <w:pPr>
      <w:keepNext w:val="true"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 w:customStyle="1">
    <w:name w:val="Интернет-ссылка"/>
    <w:rsid w:val="00157c55"/>
    <w:rPr>
      <w:color w:val="0000FF"/>
      <w:u w:val="single"/>
    </w:rPr>
  </w:style>
  <w:style w:type="character" w:styleId="Style13" w:customStyle="1">
    <w:name w:val="Верхний колонтитул Знак"/>
    <w:qFormat/>
    <w:rsid w:val="00157c55"/>
    <w:rPr>
      <w:lang w:eastAsia="ar-SA"/>
    </w:rPr>
  </w:style>
  <w:style w:type="character" w:styleId="Style14" w:customStyle="1">
    <w:name w:val="Нижний колонтитул Знак"/>
    <w:qFormat/>
    <w:rsid w:val="00157c55"/>
    <w:rPr>
      <w:lang w:eastAsia="ar-SA"/>
    </w:rPr>
  </w:style>
  <w:style w:type="character" w:styleId="11" w:customStyle="1">
    <w:name w:val="Заголовок 1 Знак"/>
    <w:qFormat/>
    <w:rsid w:val="00157c55"/>
    <w:rPr>
      <w:rFonts w:ascii="Arial" w:hAnsi="Arial" w:cs="Arial"/>
      <w:b/>
      <w:bCs/>
      <w:kern w:val="2"/>
      <w:sz w:val="32"/>
      <w:szCs w:val="32"/>
      <w:lang w:eastAsia="ar-SA"/>
    </w:rPr>
  </w:style>
  <w:style w:type="character" w:styleId="41" w:customStyle="1">
    <w:name w:val="Заголовок 4 Знак"/>
    <w:qFormat/>
    <w:rsid w:val="00157c55"/>
    <w:rPr>
      <w:rFonts w:ascii="Calibri" w:hAnsi="Calibri" w:eastAsia="Times New Roman" w:cs="Times New Roman"/>
      <w:b/>
      <w:bCs/>
      <w:sz w:val="28"/>
      <w:szCs w:val="28"/>
      <w:lang w:eastAsia="ar-SA"/>
    </w:rPr>
  </w:style>
  <w:style w:type="character" w:styleId="HTML" w:customStyle="1">
    <w:name w:val="Стандартный HTML Знак"/>
    <w:basedOn w:val="DefaultParagraphFont"/>
    <w:qFormat/>
    <w:rsid w:val="00157c55"/>
    <w:rPr>
      <w:rFonts w:ascii="Courier New" w:hAnsi="Courier New" w:cs="Courier New"/>
    </w:rPr>
  </w:style>
  <w:style w:type="character" w:styleId="Style15" w:customStyle="1">
    <w:name w:val="текст Знак"/>
    <w:basedOn w:val="DefaultParagraphFont"/>
    <w:qFormat/>
    <w:rsid w:val="00157c55"/>
    <w:rPr>
      <w:rFonts w:ascii="Bookman Old Style" w:hAnsi="Bookman Old Style"/>
    </w:rPr>
  </w:style>
  <w:style w:type="character" w:styleId="Style16" w:customStyle="1">
    <w:name w:val="Привязка концевой сноски"/>
    <w:rsid w:val="00157c55"/>
    <w:rPr>
      <w:vertAlign w:val="superscript"/>
    </w:rPr>
  </w:style>
  <w:style w:type="character" w:styleId="EndnoteCharacters" w:customStyle="1">
    <w:name w:val="Endnote Characters"/>
    <w:basedOn w:val="DefaultParagraphFont"/>
    <w:qFormat/>
    <w:rsid w:val="00157c55"/>
    <w:rPr>
      <w:vertAlign w:val="superscript"/>
    </w:rPr>
  </w:style>
  <w:style w:type="character" w:styleId="Style17" w:customStyle="1">
    <w:name w:val="лит Знак"/>
    <w:basedOn w:val="Style15"/>
    <w:qFormat/>
    <w:rsid w:val="00157c55"/>
    <w:rPr>
      <w:rFonts w:ascii="Arial" w:hAnsi="Arial" w:cs="Arial"/>
      <w:sz w:val="18"/>
      <w:szCs w:val="18"/>
    </w:rPr>
  </w:style>
  <w:style w:type="character" w:styleId="Style18" w:customStyle="1">
    <w:name w:val="Текст выноски Знак"/>
    <w:basedOn w:val="DefaultParagraphFont"/>
    <w:qFormat/>
    <w:rsid w:val="00157c55"/>
    <w:rPr>
      <w:rFonts w:ascii="Tahoma" w:hAnsi="Tahoma" w:cs="Tahoma"/>
      <w:sz w:val="16"/>
      <w:szCs w:val="16"/>
      <w:lang w:eastAsia="ar-SA"/>
    </w:rPr>
  </w:style>
  <w:style w:type="character" w:styleId="Style19" w:customStyle="1">
    <w:name w:val="Заголовок Знак"/>
    <w:basedOn w:val="DefaultParagraphFont"/>
    <w:qFormat/>
    <w:rsid w:val="00157c55"/>
    <w:rPr>
      <w:rFonts w:ascii="NewtonTT" w:hAnsi="NewtonTT"/>
      <w:b/>
      <w:bCs/>
      <w:caps/>
      <w:color w:val="00000A"/>
      <w:kern w:val="2"/>
      <w:sz w:val="22"/>
      <w:szCs w:val="36"/>
      <w:lang w:eastAsia="ar-SA"/>
    </w:rPr>
  </w:style>
  <w:style w:type="character" w:styleId="Style20">
    <w:name w:val="Выделение"/>
    <w:basedOn w:val="DefaultParagraphFont"/>
    <w:qFormat/>
    <w:rsid w:val="00157c55"/>
    <w:rPr>
      <w:i/>
      <w:iCs/>
    </w:rPr>
  </w:style>
  <w:style w:type="character" w:styleId="PlaceholderText">
    <w:name w:val="Placeholder Text"/>
    <w:basedOn w:val="DefaultParagraphFont"/>
    <w:qFormat/>
    <w:rsid w:val="00157c55"/>
    <w:rPr>
      <w:color w:val="808080"/>
    </w:rPr>
  </w:style>
  <w:style w:type="paragraph" w:styleId="Style21" w:customStyle="1">
    <w:name w:val="Заголовок"/>
    <w:basedOn w:val="Normal"/>
    <w:next w:val="Style22"/>
    <w:qFormat/>
    <w:rsid w:val="00157c55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2">
    <w:name w:val="Body Text"/>
    <w:basedOn w:val="Normal"/>
    <w:rsid w:val="00157c55"/>
    <w:pPr>
      <w:widowControl/>
      <w:spacing w:before="0" w:after="283"/>
      <w:ind w:left="0" w:right="0" w:hanging="0"/>
      <w:jc w:val="left"/>
    </w:pPr>
    <w:rPr>
      <w:rFonts w:ascii="Times           New Roman;serif" w:hAnsi="Times           New Roman;serif"/>
      <w:b/>
      <w:i w:val="false"/>
      <w:caps/>
      <w:color w:val="333333"/>
      <w:spacing w:val="0"/>
      <w:sz w:val="20"/>
      <w:lang w:val="en-US"/>
    </w:rPr>
  </w:style>
  <w:style w:type="paragraph" w:styleId="Style23">
    <w:name w:val="List"/>
    <w:basedOn w:val="Style22"/>
    <w:rsid w:val="00157c55"/>
    <w:pPr/>
    <w:rPr>
      <w:rFonts w:cs="Arial"/>
    </w:rPr>
  </w:style>
  <w:style w:type="paragraph" w:styleId="Style24" w:customStyle="1">
    <w:name w:val="Caption"/>
    <w:basedOn w:val="Normal"/>
    <w:qFormat/>
    <w:rsid w:val="00157c5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5">
    <w:name w:val="Указатель"/>
    <w:basedOn w:val="Normal"/>
    <w:qFormat/>
    <w:pPr>
      <w:suppressLineNumbers/>
    </w:pPr>
    <w:rPr>
      <w:rFonts w:cs="Arial"/>
    </w:rPr>
  </w:style>
  <w:style w:type="paragraph" w:styleId="Indexheading">
    <w:name w:val="index heading"/>
    <w:basedOn w:val="Normal"/>
    <w:qFormat/>
    <w:rsid w:val="00157c55"/>
    <w:pPr>
      <w:suppressLineNumbers/>
    </w:pPr>
    <w:rPr>
      <w:rFonts w:cs="Arial"/>
    </w:rPr>
  </w:style>
  <w:style w:type="paragraph" w:styleId="12" w:customStyle="1">
    <w:name w:val="Название1"/>
    <w:basedOn w:val="Normal"/>
    <w:qFormat/>
    <w:rsid w:val="00157c55"/>
    <w:pPr>
      <w:tabs>
        <w:tab w:val="clear" w:pos="720"/>
        <w:tab w:val="left" w:pos="340" w:leader="none"/>
      </w:tabs>
      <w:suppressAutoHyphens w:val="true"/>
    </w:pPr>
    <w:rPr>
      <w:rFonts w:ascii="NewtonTT" w:hAnsi="NewtonTT"/>
      <w:b/>
      <w:caps/>
      <w:sz w:val="22"/>
      <w:lang w:eastAsia="ru-RU"/>
    </w:rPr>
  </w:style>
  <w:style w:type="paragraph" w:styleId="KeyWord" w:customStyle="1">
    <w:name w:val="KeyWord"/>
    <w:basedOn w:val="Normal"/>
    <w:qFormat/>
    <w:rsid w:val="00157c55"/>
    <w:pPr>
      <w:tabs>
        <w:tab w:val="clear" w:pos="720"/>
        <w:tab w:val="left" w:pos="1644" w:leader="none"/>
      </w:tabs>
      <w:spacing w:before="240" w:after="240"/>
      <w:ind w:left="1588" w:hanging="1588"/>
      <w:jc w:val="both"/>
    </w:pPr>
    <w:rPr>
      <w:rFonts w:ascii="NewtonTT" w:hAnsi="NewtonTT"/>
      <w:lang w:eastAsia="ru-RU"/>
    </w:rPr>
  </w:style>
  <w:style w:type="paragraph" w:styleId="Abstract" w:customStyle="1">
    <w:name w:val="Abstract"/>
    <w:basedOn w:val="Normal"/>
    <w:qFormat/>
    <w:rsid w:val="00157c55"/>
    <w:pPr>
      <w:tabs>
        <w:tab w:val="clear" w:pos="720"/>
        <w:tab w:val="left" w:pos="340" w:leader="none"/>
      </w:tabs>
      <w:ind w:firstLine="340"/>
      <w:jc w:val="both"/>
    </w:pPr>
    <w:rPr>
      <w:rFonts w:ascii="NewtonTT" w:hAnsi="NewtonTT"/>
      <w:sz w:val="16"/>
      <w:lang w:eastAsia="ru-RU"/>
    </w:rPr>
  </w:style>
  <w:style w:type="paragraph" w:styleId="Equation" w:customStyle="1">
    <w:name w:val="Equation"/>
    <w:basedOn w:val="Normal"/>
    <w:qFormat/>
    <w:rsid w:val="00157c55"/>
    <w:pPr>
      <w:tabs>
        <w:tab w:val="clear" w:pos="720"/>
        <w:tab w:val="center" w:pos="4536" w:leader="none"/>
        <w:tab w:val="right" w:pos="8959" w:leader="none"/>
      </w:tabs>
      <w:spacing w:before="200" w:after="200"/>
    </w:pPr>
    <w:rPr>
      <w:rFonts w:ascii="NewtonTT" w:hAnsi="NewtonTT"/>
      <w:lang w:eastAsia="ru-RU"/>
    </w:rPr>
  </w:style>
  <w:style w:type="paragraph" w:styleId="Style26">
    <w:name w:val="Body Text Indent"/>
    <w:basedOn w:val="Normal"/>
    <w:rsid w:val="00157c55"/>
    <w:pPr>
      <w:spacing w:before="0" w:after="120"/>
      <w:ind w:left="283" w:hanging="0"/>
    </w:pPr>
    <w:rPr/>
  </w:style>
  <w:style w:type="paragraph" w:styleId="Style27" w:customStyle="1">
    <w:name w:val="Верхний и нижний колонтитулы"/>
    <w:basedOn w:val="Normal"/>
    <w:qFormat/>
    <w:rsid w:val="00157c55"/>
    <w:pPr/>
    <w:rPr/>
  </w:style>
  <w:style w:type="paragraph" w:styleId="Style28" w:customStyle="1">
    <w:name w:val="Header"/>
    <w:basedOn w:val="Normal"/>
    <w:rsid w:val="00157c55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Style29" w:customStyle="1">
    <w:name w:val="Footer"/>
    <w:basedOn w:val="Normal"/>
    <w:rsid w:val="00157c55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HTMLPreformatted">
    <w:name w:val="HTML Preformatted"/>
    <w:basedOn w:val="Normal"/>
    <w:qFormat/>
    <w:rsid w:val="00157c55"/>
    <w:pPr>
      <w:tabs>
        <w:tab w:val="clear" w:pos="72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ind w:firstLine="567"/>
    </w:pPr>
    <w:rPr>
      <w:rFonts w:ascii="Courier New" w:hAnsi="Courier New" w:cs="Courier New"/>
      <w:lang w:eastAsia="ru-RU"/>
    </w:rPr>
  </w:style>
  <w:style w:type="paragraph" w:styleId="Style30" w:customStyle="1">
    <w:name w:val="текст"/>
    <w:basedOn w:val="Normal"/>
    <w:qFormat/>
    <w:rsid w:val="00157c55"/>
    <w:pPr>
      <w:ind w:firstLine="397"/>
      <w:jc w:val="both"/>
    </w:pPr>
    <w:rPr>
      <w:rFonts w:ascii="Bookman Old Style" w:hAnsi="Bookman Old Style"/>
      <w:lang w:eastAsia="ru-RU"/>
    </w:rPr>
  </w:style>
  <w:style w:type="paragraph" w:styleId="ListBullet2">
    <w:name w:val="List Bullet 2"/>
    <w:basedOn w:val="Normal"/>
    <w:qFormat/>
    <w:rsid w:val="00157c55"/>
    <w:pPr>
      <w:jc w:val="both"/>
    </w:pPr>
    <w:rPr>
      <w:sz w:val="22"/>
      <w:szCs w:val="24"/>
      <w:lang w:eastAsia="ru-RU"/>
    </w:rPr>
  </w:style>
  <w:style w:type="paragraph" w:styleId="Style31" w:customStyle="1">
    <w:name w:val="лит"/>
    <w:basedOn w:val="Style30"/>
    <w:qFormat/>
    <w:rsid w:val="00157c55"/>
    <w:pPr>
      <w:ind w:left="360" w:hanging="360"/>
    </w:pPr>
    <w:rPr>
      <w:rFonts w:ascii="Arial" w:hAnsi="Arial" w:cs="Arial"/>
      <w:sz w:val="18"/>
      <w:szCs w:val="18"/>
    </w:rPr>
  </w:style>
  <w:style w:type="paragraph" w:styleId="BalloonText">
    <w:name w:val="Balloon Text"/>
    <w:basedOn w:val="Normal"/>
    <w:qFormat/>
    <w:rsid w:val="00157c55"/>
    <w:pPr/>
    <w:rPr>
      <w:rFonts w:ascii="Tahoma" w:hAnsi="Tahoma" w:cs="Tahoma"/>
      <w:sz w:val="16"/>
      <w:szCs w:val="16"/>
    </w:rPr>
  </w:style>
  <w:style w:type="paragraph" w:styleId="Style32">
    <w:name w:val="Title"/>
    <w:basedOn w:val="Normal"/>
    <w:qFormat/>
    <w:rsid w:val="00157c55"/>
    <w:pPr>
      <w:tabs>
        <w:tab w:val="clear" w:pos="720"/>
        <w:tab w:val="left" w:pos="340" w:leader="none"/>
      </w:tabs>
      <w:suppressAutoHyphens w:val="true"/>
    </w:pPr>
    <w:rPr>
      <w:rFonts w:ascii="NewtonTT" w:hAnsi="NewtonTT"/>
      <w:b/>
      <w:bCs/>
      <w:caps/>
      <w:color w:val="00000A"/>
      <w:kern w:val="2"/>
      <w:sz w:val="22"/>
      <w:szCs w:val="36"/>
    </w:rPr>
  </w:style>
  <w:style w:type="paragraph" w:styleId="HTML1" w:customStyle="1">
    <w:name w:val="Стандартный HTML1"/>
    <w:basedOn w:val="Normal"/>
    <w:qFormat/>
    <w:rsid w:val="00157c55"/>
    <w:pPr>
      <w:tabs>
        <w:tab w:val="clear" w:pos="72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true"/>
      <w:ind w:firstLine="567"/>
    </w:pPr>
    <w:rPr>
      <w:rFonts w:ascii="Courier New" w:hAnsi="Courier New" w:cs="Courier New"/>
      <w:color w:val="00000A"/>
      <w:kern w:val="2"/>
    </w:rPr>
  </w:style>
  <w:style w:type="paragraph" w:styleId="NoSpacing">
    <w:name w:val="No Spacing"/>
    <w:qFormat/>
    <w:rsid w:val="00157c55"/>
    <w:pPr>
      <w:widowControl/>
      <w:overflowPunct w:val="false"/>
      <w:bidi w:val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en-US" w:bidi="ar-SA"/>
    </w:rPr>
  </w:style>
  <w:style w:type="paragraph" w:styleId="ListParagraph">
    <w:name w:val="List Paragraph"/>
    <w:basedOn w:val="Normal"/>
    <w:qFormat/>
    <w:rsid w:val="00157c55"/>
    <w:pPr>
      <w:spacing w:before="0" w:after="0"/>
      <w:ind w:left="720" w:hanging="0"/>
      <w:contextualSpacing/>
    </w:pPr>
    <w:rPr/>
  </w:style>
  <w:style w:type="paragraph" w:styleId="Style33" w:customStyle="1">
    <w:name w:val="Содержимое таблицы"/>
    <w:basedOn w:val="Normal"/>
    <w:qFormat/>
    <w:rsid w:val="00157c55"/>
    <w:pPr>
      <w:suppressLineNumbers/>
    </w:pPr>
    <w:rPr/>
  </w:style>
  <w:style w:type="paragraph" w:styleId="Style34" w:customStyle="1">
    <w:name w:val="Заголовок таблицы"/>
    <w:basedOn w:val="Style33"/>
    <w:qFormat/>
    <w:rsid w:val="00157c55"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953</TotalTime>
  <Application>LibreOffice/6.3.2.2$Windows_x86 LibreOffice_project/98b30e735bda24bc04ab42594c85f7fd8be07b9c</Application>
  <Pages>2</Pages>
  <Words>712</Words>
  <Characters>4923</Characters>
  <CharactersWithSpaces>5651</CharactersWithSpaces>
  <Paragraphs>17</Paragraphs>
  <Company>Организация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2019-04-14T15:45:00Z</dcterms:created>
  <dc:creator>Admin</dc:creator>
  <dc:description/>
  <dc:language>ru-RU</dc:language>
  <cp:lastModifiedBy/>
  <cp:lastPrinted>2017-04-13T14:18:00Z</cp:lastPrinted>
  <dcterms:modified xsi:type="dcterms:W3CDTF">2020-05-23T21:47:02Z</dcterms:modified>
  <cp:revision>93</cp:revision>
  <dc:subject/>
  <dc:title>ИССЛЕДОВАНИЕ И ОПТИМИЗАЦИЯ ТЕХНОЛОГИЧЕСКИХ РЕЖИМОВ ЭЛЕКТРОИСКРОВОЙ ОБРАБОТКИ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Организация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