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9A" w:rsidRDefault="00D0759A" w:rsidP="000201AA">
      <w:pPr>
        <w:spacing w:line="360" w:lineRule="auto"/>
        <w:ind w:left="-142"/>
        <w:jc w:val="center"/>
        <w:rPr>
          <w:b/>
        </w:rPr>
      </w:pPr>
      <w:r w:rsidRPr="00D0759A">
        <w:rPr>
          <w:b/>
        </w:rPr>
        <w:t>УДАРНО-ВОЛНОВОЕ ПОВЕДЕНИЕ АЗОТОСОДЕРЖАЩЕЙ СТАЛИ</w:t>
      </w:r>
    </w:p>
    <w:p w:rsidR="00D0759A" w:rsidRPr="00D0759A" w:rsidRDefault="00D0759A" w:rsidP="000201AA">
      <w:pPr>
        <w:ind w:left="-142"/>
        <w:jc w:val="center"/>
        <w:rPr>
          <w:b/>
        </w:rPr>
      </w:pPr>
    </w:p>
    <w:p w:rsidR="00D0759A" w:rsidRPr="00D0759A" w:rsidRDefault="00D0759A" w:rsidP="000201AA">
      <w:pPr>
        <w:ind w:left="-142"/>
        <w:jc w:val="center"/>
        <w:rPr>
          <w:b/>
        </w:rPr>
      </w:pPr>
      <w:r w:rsidRPr="00D0759A">
        <w:rPr>
          <w:b/>
        </w:rPr>
        <w:t xml:space="preserve">Ю.И. Мещеряков, А.К. </w:t>
      </w:r>
      <w:proofErr w:type="spellStart"/>
      <w:r w:rsidRPr="00D0759A">
        <w:rPr>
          <w:b/>
        </w:rPr>
        <w:t>Диваков</w:t>
      </w:r>
      <w:proofErr w:type="spellEnd"/>
      <w:r w:rsidRPr="00D0759A">
        <w:rPr>
          <w:b/>
        </w:rPr>
        <w:t>, Н.И. Жигачева, Г.В.</w:t>
      </w:r>
      <w:proofErr w:type="gramStart"/>
      <w:r w:rsidRPr="00D0759A">
        <w:rPr>
          <w:b/>
        </w:rPr>
        <w:t>Коновалов</w:t>
      </w:r>
      <w:proofErr w:type="gramEnd"/>
      <w:r w:rsidRPr="00D0759A">
        <w:rPr>
          <w:b/>
        </w:rPr>
        <w:t>,</w:t>
      </w:r>
    </w:p>
    <w:p w:rsidR="00D0759A" w:rsidRPr="00D0759A" w:rsidRDefault="00D0759A" w:rsidP="000201AA">
      <w:pPr>
        <w:ind w:left="-142"/>
        <w:jc w:val="center"/>
        <w:rPr>
          <w:b/>
        </w:rPr>
      </w:pPr>
      <w:proofErr w:type="gramStart"/>
      <w:r w:rsidRPr="00D0759A">
        <w:rPr>
          <w:b/>
          <w:vertAlign w:val="superscript"/>
        </w:rPr>
        <w:t>*)</w:t>
      </w:r>
      <w:r w:rsidRPr="00D0759A">
        <w:rPr>
          <w:b/>
        </w:rPr>
        <w:t xml:space="preserve">Б.К. </w:t>
      </w:r>
      <w:proofErr w:type="spellStart"/>
      <w:r w:rsidRPr="00D0759A">
        <w:rPr>
          <w:b/>
        </w:rPr>
        <w:t>Барахтин</w:t>
      </w:r>
      <w:proofErr w:type="spellEnd"/>
      <w:r w:rsidRPr="00D0759A">
        <w:rPr>
          <w:b/>
        </w:rPr>
        <w:t>, *</w:t>
      </w:r>
      <w:r w:rsidRPr="00D0759A">
        <w:rPr>
          <w:b/>
          <w:vertAlign w:val="superscript"/>
        </w:rPr>
        <w:t>)</w:t>
      </w:r>
      <w:r w:rsidRPr="00D0759A">
        <w:rPr>
          <w:b/>
        </w:rPr>
        <w:t>Г.Ю.  Калинин,*</w:t>
      </w:r>
      <w:r w:rsidRPr="00D0759A">
        <w:rPr>
          <w:b/>
          <w:vertAlign w:val="superscript"/>
        </w:rPr>
        <w:t>)</w:t>
      </w:r>
      <w:r w:rsidRPr="00D0759A">
        <w:rPr>
          <w:b/>
        </w:rPr>
        <w:t xml:space="preserve">С.Ю. </w:t>
      </w:r>
      <w:proofErr w:type="spellStart"/>
      <w:r w:rsidRPr="00D0759A">
        <w:rPr>
          <w:b/>
        </w:rPr>
        <w:t>Мушникова</w:t>
      </w:r>
      <w:proofErr w:type="spellEnd"/>
      <w:r w:rsidRPr="00D0759A">
        <w:rPr>
          <w:b/>
        </w:rPr>
        <w:t>, *</w:t>
      </w:r>
      <w:r w:rsidRPr="00D0759A">
        <w:rPr>
          <w:b/>
          <w:vertAlign w:val="superscript"/>
        </w:rPr>
        <w:t>)</w:t>
      </w:r>
      <w:r w:rsidRPr="00D0759A">
        <w:rPr>
          <w:b/>
        </w:rPr>
        <w:t xml:space="preserve"> О.В. Фомина</w:t>
      </w:r>
      <w:proofErr w:type="gramEnd"/>
    </w:p>
    <w:p w:rsidR="00D0759A" w:rsidRPr="00D0759A" w:rsidRDefault="00D0759A" w:rsidP="000201AA">
      <w:pPr>
        <w:ind w:left="-142"/>
        <w:jc w:val="center"/>
        <w:rPr>
          <w:b/>
          <w:i/>
        </w:rPr>
      </w:pPr>
    </w:p>
    <w:p w:rsidR="00D0759A" w:rsidRPr="00E06382" w:rsidRDefault="00D0759A" w:rsidP="000201AA">
      <w:pPr>
        <w:ind w:left="-142"/>
        <w:jc w:val="center"/>
      </w:pPr>
      <w:r w:rsidRPr="00E06382">
        <w:t>Институт проблем машиноведения РАН,</w:t>
      </w:r>
      <w:r w:rsidR="00E06382">
        <w:t xml:space="preserve"> В.О. Большой пр.,61</w:t>
      </w:r>
    </w:p>
    <w:p w:rsidR="00D0759A" w:rsidRPr="00E06382" w:rsidRDefault="00D0759A" w:rsidP="000201AA">
      <w:pPr>
        <w:tabs>
          <w:tab w:val="left" w:pos="8280"/>
          <w:tab w:val="left" w:pos="10260"/>
        </w:tabs>
        <w:ind w:left="-142"/>
        <w:jc w:val="center"/>
      </w:pPr>
      <w:r w:rsidRPr="00E06382">
        <w:t>199178 Санкт-Петербург, Россия</w:t>
      </w:r>
    </w:p>
    <w:p w:rsidR="00D0759A" w:rsidRPr="00E06382" w:rsidRDefault="00D0759A" w:rsidP="000201AA">
      <w:pPr>
        <w:ind w:left="-142"/>
        <w:jc w:val="center"/>
      </w:pPr>
      <w:proofErr w:type="gramStart"/>
      <w:r w:rsidRPr="00E06382">
        <w:t>*</w:t>
      </w:r>
      <w:r w:rsidRPr="00E06382">
        <w:rPr>
          <w:vertAlign w:val="superscript"/>
        </w:rPr>
        <w:t xml:space="preserve">) </w:t>
      </w:r>
      <w:r w:rsidRPr="00E06382">
        <w:t>ЦНИИ Конструкционных материалов «Прометей»,</w:t>
      </w:r>
      <w:r w:rsidR="00E06382">
        <w:t xml:space="preserve"> Шпалерная ул. 14</w:t>
      </w:r>
      <w:proofErr w:type="gramEnd"/>
    </w:p>
    <w:p w:rsidR="00D0759A" w:rsidRDefault="00D0759A" w:rsidP="000201AA">
      <w:pPr>
        <w:tabs>
          <w:tab w:val="left" w:pos="8280"/>
          <w:tab w:val="left" w:pos="10260"/>
        </w:tabs>
        <w:ind w:left="-142"/>
        <w:jc w:val="center"/>
      </w:pPr>
      <w:r w:rsidRPr="00E06382">
        <w:t>Санкт-Петербург, Россия</w:t>
      </w:r>
    </w:p>
    <w:p w:rsidR="001341D6" w:rsidRPr="00102285" w:rsidRDefault="001341D6" w:rsidP="000201AA">
      <w:pPr>
        <w:tabs>
          <w:tab w:val="left" w:pos="8280"/>
          <w:tab w:val="left" w:pos="10260"/>
        </w:tabs>
        <w:ind w:left="-142"/>
        <w:jc w:val="center"/>
      </w:pPr>
      <w:r>
        <w:rPr>
          <w:lang w:val="en-US"/>
        </w:rPr>
        <w:t>E</w:t>
      </w:r>
      <w:r w:rsidRPr="00102285">
        <w:t>-</w:t>
      </w:r>
      <w:r>
        <w:rPr>
          <w:lang w:val="en-US"/>
        </w:rPr>
        <w:t>mail</w:t>
      </w:r>
      <w:r w:rsidRPr="00102285">
        <w:t xml:space="preserve">: </w:t>
      </w:r>
      <w:proofErr w:type="spellStart"/>
      <w:r>
        <w:rPr>
          <w:lang w:val="en-US"/>
        </w:rPr>
        <w:t>ym</w:t>
      </w:r>
      <w:proofErr w:type="spellEnd"/>
      <w:r w:rsidRPr="00102285">
        <w:t>38@</w:t>
      </w:r>
      <w:r>
        <w:rPr>
          <w:lang w:val="en-US"/>
        </w:rPr>
        <w:t>mail</w:t>
      </w:r>
      <w:r w:rsidRPr="00102285">
        <w:t>.</w:t>
      </w:r>
      <w:proofErr w:type="spellStart"/>
      <w:r>
        <w:rPr>
          <w:lang w:val="en-US"/>
        </w:rPr>
        <w:t>ru</w:t>
      </w:r>
      <w:proofErr w:type="spellEnd"/>
    </w:p>
    <w:p w:rsidR="00D0759A" w:rsidRPr="00D0759A" w:rsidRDefault="00D0759A" w:rsidP="000201AA">
      <w:pPr>
        <w:tabs>
          <w:tab w:val="left" w:pos="8280"/>
          <w:tab w:val="left" w:pos="10260"/>
        </w:tabs>
        <w:ind w:left="-142"/>
        <w:jc w:val="center"/>
        <w:rPr>
          <w:sz w:val="28"/>
          <w:szCs w:val="28"/>
        </w:rPr>
      </w:pPr>
    </w:p>
    <w:p w:rsidR="00B1397A" w:rsidRPr="00AF46FE" w:rsidRDefault="00102285" w:rsidP="006C3962">
      <w:pPr>
        <w:tabs>
          <w:tab w:val="left" w:pos="10260"/>
        </w:tabs>
        <w:ind w:right="-81"/>
        <w:jc w:val="both"/>
      </w:pPr>
      <w:r w:rsidRPr="00102285">
        <w:t>Поведены ударные испытания азотосодержащей стали  в двух состояниях: (</w:t>
      </w:r>
      <w:r w:rsidRPr="00102285">
        <w:rPr>
          <w:i/>
        </w:rPr>
        <w:t>а</w:t>
      </w:r>
      <w:r w:rsidRPr="00102285">
        <w:t>) после высокотемпературной механической обработки (ВТМО) и (</w:t>
      </w:r>
      <w:r w:rsidRPr="00102285">
        <w:rPr>
          <w:i/>
        </w:rPr>
        <w:t>б</w:t>
      </w:r>
      <w:r w:rsidRPr="00102285">
        <w:t>) после  ВТМО и последующего отжига</w:t>
      </w:r>
      <w:r w:rsidR="006C3962" w:rsidRPr="00B0704C">
        <w:t>от</w:t>
      </w:r>
      <w:r w:rsidR="006C3962" w:rsidRPr="006C3962">
        <w:t>температуры 1100</w:t>
      </w:r>
      <w:proofErr w:type="gramStart"/>
      <w:r w:rsidR="006C3962" w:rsidRPr="006C3962">
        <w:t>º С</w:t>
      </w:r>
      <w:proofErr w:type="gramEnd"/>
      <w:r w:rsidR="006C3962" w:rsidRPr="006C3962">
        <w:t xml:space="preserve"> (эти стали  далее условно обозначаются как </w:t>
      </w:r>
      <w:r w:rsidR="006C3962" w:rsidRPr="006C3962">
        <w:rPr>
          <w:i/>
        </w:rPr>
        <w:t>1</w:t>
      </w:r>
      <w:r w:rsidR="006C3962" w:rsidRPr="006C3962">
        <w:t xml:space="preserve"> и</w:t>
      </w:r>
      <w:r w:rsidR="006C3962" w:rsidRPr="006C3962">
        <w:rPr>
          <w:i/>
        </w:rPr>
        <w:t xml:space="preserve"> 2</w:t>
      </w:r>
      <w:r w:rsidR="006C3962" w:rsidRPr="006C3962">
        <w:t xml:space="preserve">).  </w:t>
      </w:r>
      <w:r w:rsidR="00BB1B40" w:rsidRPr="00BB1B40">
        <w:t xml:space="preserve">Испытание материалов проводилось в условиях одноосной деформации (плоского соударения) на легкогазовой метательной установке калибра 37 мм. В  процессе ударного нагружения регистрировали временной профиль скорости свободной </w:t>
      </w:r>
      <w:r w:rsidR="00BB1B40" w:rsidRPr="00AF46FE">
        <w:t xml:space="preserve">поверхности мишени и затем из временного профиля определяли динамические характеристики прочности и пластичности материала.  </w:t>
      </w:r>
      <w:proofErr w:type="gramStart"/>
      <w:r w:rsidR="00BB1B40" w:rsidRPr="00AF46FE">
        <w:t xml:space="preserve">В качестве характеристик динамического отклика взяты следующие величины:  а) динамический предел </w:t>
      </w:r>
      <w:r w:rsidR="00BB1B40" w:rsidRPr="00AF46FE">
        <w:rPr>
          <w:color w:val="0D0D0D" w:themeColor="text1" w:themeTint="F2"/>
        </w:rPr>
        <w:t xml:space="preserve">текучести  </w:t>
      </w:r>
      <w:proofErr w:type="spellStart"/>
      <w:r w:rsidR="00BB1B40" w:rsidRPr="00AF46FE">
        <w:rPr>
          <w:i/>
          <w:color w:val="0D0D0D" w:themeColor="text1" w:themeTint="F2"/>
          <w:shd w:val="clear" w:color="auto" w:fill="FFFF00"/>
          <w:lang w:val="en-US"/>
        </w:rPr>
        <w:t>Y</w:t>
      </w:r>
      <w:r w:rsidR="00BB1B40" w:rsidRPr="00AF46FE">
        <w:rPr>
          <w:i/>
          <w:color w:val="0D0D0D" w:themeColor="text1" w:themeTint="F2"/>
          <w:shd w:val="clear" w:color="auto" w:fill="FFFF00"/>
          <w:vertAlign w:val="subscript"/>
          <w:lang w:val="en-US"/>
        </w:rPr>
        <w:t>dyn</w:t>
      </w:r>
      <w:proofErr w:type="spellEnd"/>
      <w:r w:rsidR="00BB1B40" w:rsidRPr="00AF46FE">
        <w:rPr>
          <w:color w:val="0D0D0D" w:themeColor="text1" w:themeTint="F2"/>
          <w:shd w:val="clear" w:color="auto" w:fill="FFFF00"/>
        </w:rPr>
        <w:t>,</w:t>
      </w:r>
      <w:r w:rsidR="00BB1B40" w:rsidRPr="00AF46FE">
        <w:rPr>
          <w:color w:val="0D0D0D" w:themeColor="text1" w:themeTint="F2"/>
        </w:rPr>
        <w:t xml:space="preserve"> б) </w:t>
      </w:r>
      <w:proofErr w:type="spellStart"/>
      <w:r w:rsidR="00BB1B40" w:rsidRPr="00AF46FE">
        <w:rPr>
          <w:color w:val="0D0D0D" w:themeColor="text1" w:themeTint="F2"/>
        </w:rPr>
        <w:t>откольная</w:t>
      </w:r>
      <w:proofErr w:type="spellEnd"/>
      <w:r w:rsidR="00BB1B40" w:rsidRPr="00AF46FE">
        <w:rPr>
          <w:color w:val="0D0D0D" w:themeColor="text1" w:themeTint="F2"/>
        </w:rPr>
        <w:t xml:space="preserve"> прочность </w:t>
      </w:r>
      <w:proofErr w:type="spellStart"/>
      <w:r w:rsidR="00BB1B40" w:rsidRPr="00AF46FE">
        <w:rPr>
          <w:i/>
          <w:color w:val="0D0D0D" w:themeColor="text1" w:themeTint="F2"/>
          <w:shd w:val="clear" w:color="auto" w:fill="FFFF00"/>
          <w:lang w:val="en-US"/>
        </w:rPr>
        <w:t>σ</w:t>
      </w:r>
      <w:r w:rsidR="00BB1B40" w:rsidRPr="00AF46FE">
        <w:rPr>
          <w:i/>
          <w:color w:val="0D0D0D" w:themeColor="text1" w:themeTint="F2"/>
          <w:shd w:val="clear" w:color="auto" w:fill="FFFF00"/>
          <w:vertAlign w:val="subscript"/>
          <w:lang w:val="en-US"/>
        </w:rPr>
        <w:t>sp</w:t>
      </w:r>
      <w:proofErr w:type="spellEnd"/>
      <w:r w:rsidR="00BB1B40" w:rsidRPr="00AF46FE">
        <w:rPr>
          <w:color w:val="0D0D0D" w:themeColor="text1" w:themeTint="F2"/>
          <w:shd w:val="clear" w:color="auto" w:fill="FFFF00"/>
        </w:rPr>
        <w:t>,</w:t>
      </w:r>
      <w:r w:rsidR="00BB1B40" w:rsidRPr="00AF46FE">
        <w:rPr>
          <w:color w:val="0D0D0D" w:themeColor="text1" w:themeTint="F2"/>
        </w:rPr>
        <w:t xml:space="preserve"> в) порог структурного перехода, инициированного ударным </w:t>
      </w:r>
      <w:proofErr w:type="spellStart"/>
      <w:r w:rsidR="00BB1B40" w:rsidRPr="00AF46FE">
        <w:rPr>
          <w:color w:val="0D0D0D" w:themeColor="text1" w:themeTint="F2"/>
        </w:rPr>
        <w:t>нагружением</w:t>
      </w:r>
      <w:proofErr w:type="spellEnd"/>
      <w:r w:rsidR="00BB1B40" w:rsidRPr="00AF46FE">
        <w:rPr>
          <w:color w:val="0D0D0D" w:themeColor="text1" w:themeTint="F2"/>
        </w:rPr>
        <w:t xml:space="preserve"> </w:t>
      </w:r>
      <w:proofErr w:type="spellStart"/>
      <w:r w:rsidR="00BB1B40" w:rsidRPr="00AF46FE">
        <w:rPr>
          <w:i/>
          <w:color w:val="0D0D0D" w:themeColor="text1" w:themeTint="F2"/>
          <w:lang w:val="en-US"/>
        </w:rPr>
        <w:t>U</w:t>
      </w:r>
      <w:r w:rsidR="00BB1B40" w:rsidRPr="00AF46FE">
        <w:rPr>
          <w:i/>
          <w:color w:val="0D0D0D" w:themeColor="text1" w:themeTint="F2"/>
          <w:vertAlign w:val="subscript"/>
          <w:lang w:val="en-US"/>
        </w:rPr>
        <w:t>inst</w:t>
      </w:r>
      <w:proofErr w:type="spellEnd"/>
      <w:r w:rsidR="00BB1B40" w:rsidRPr="00AF46FE">
        <w:rPr>
          <w:color w:val="0D0D0D" w:themeColor="text1" w:themeTint="F2"/>
        </w:rPr>
        <w:t xml:space="preserve">, г) дефект массовой скорости на плато импульса сжатия  </w:t>
      </w:r>
      <w:proofErr w:type="spellStart"/>
      <w:r w:rsidR="00BB1B40" w:rsidRPr="00AF46FE">
        <w:rPr>
          <w:i/>
          <w:shd w:val="clear" w:color="auto" w:fill="FFFF00"/>
          <w:lang w:val="en-US"/>
        </w:rPr>
        <w:t>U</w:t>
      </w:r>
      <w:r w:rsidR="00BB1B40" w:rsidRPr="00AF46FE">
        <w:rPr>
          <w:i/>
          <w:shd w:val="clear" w:color="auto" w:fill="FFFF00"/>
          <w:vertAlign w:val="subscript"/>
          <w:lang w:val="en-US"/>
        </w:rPr>
        <w:t>def</w:t>
      </w:r>
      <w:proofErr w:type="spellEnd"/>
      <w:r w:rsidR="009B1DC3" w:rsidRPr="00AF46FE">
        <w:rPr>
          <w:color w:val="0D0D0D" w:themeColor="text1" w:themeTint="F2"/>
          <w:sz w:val="28"/>
          <w:szCs w:val="28"/>
        </w:rPr>
        <w:t>.</w:t>
      </w:r>
      <w:r w:rsidR="009F7A26" w:rsidRPr="00AF46FE">
        <w:rPr>
          <w:color w:val="0D0D0D" w:themeColor="text1" w:themeTint="F2"/>
        </w:rPr>
        <w:t>В работе ставилась задача выяснить: (</w:t>
      </w:r>
      <w:r w:rsidR="009F7A26" w:rsidRPr="00AF46FE">
        <w:rPr>
          <w:i/>
          <w:color w:val="0D0D0D" w:themeColor="text1" w:themeTint="F2"/>
        </w:rPr>
        <w:t>а</w:t>
      </w:r>
      <w:r w:rsidR="009F7A26" w:rsidRPr="00AF46FE">
        <w:rPr>
          <w:color w:val="0D0D0D" w:themeColor="text1" w:themeTint="F2"/>
        </w:rPr>
        <w:t>) влияние исходной структуры и (</w:t>
      </w:r>
      <w:r w:rsidR="009F7A26" w:rsidRPr="00AF46FE">
        <w:rPr>
          <w:i/>
          <w:color w:val="0D0D0D" w:themeColor="text1" w:themeTint="F2"/>
        </w:rPr>
        <w:t>б</w:t>
      </w:r>
      <w:r w:rsidR="009F7A26" w:rsidRPr="00AF46FE">
        <w:rPr>
          <w:color w:val="0D0D0D" w:themeColor="text1" w:themeTint="F2"/>
        </w:rPr>
        <w:t xml:space="preserve">) влияние скорости деформации  на указанные выше прочностные характеристики азотосодержащих сталей в диапазоне </w:t>
      </w:r>
      <w:r w:rsidR="009F7A26" w:rsidRPr="00AF46FE">
        <w:t>скоростей деформации 10</w:t>
      </w:r>
      <w:r w:rsidR="009F7A26" w:rsidRPr="00AF46FE">
        <w:rPr>
          <w:vertAlign w:val="superscript"/>
        </w:rPr>
        <w:t>5</w:t>
      </w:r>
      <w:proofErr w:type="gramEnd"/>
      <w:r w:rsidR="009F7A26" w:rsidRPr="00AF46FE">
        <w:t>÷10</w:t>
      </w:r>
      <w:r w:rsidR="009F7A26" w:rsidRPr="00AF46FE">
        <w:rPr>
          <w:vertAlign w:val="superscript"/>
        </w:rPr>
        <w:t>6</w:t>
      </w:r>
      <w:r w:rsidR="009F7A26" w:rsidRPr="00AF46FE">
        <w:t>с</w:t>
      </w:r>
      <w:r w:rsidR="009F7A26" w:rsidRPr="00AF46FE">
        <w:rPr>
          <w:vertAlign w:val="superscript"/>
        </w:rPr>
        <w:t>-1</w:t>
      </w:r>
      <w:r w:rsidR="009F7A26" w:rsidRPr="00AF46FE">
        <w:t>.</w:t>
      </w:r>
    </w:p>
    <w:p w:rsidR="000A352C" w:rsidRPr="000A352C" w:rsidRDefault="00102285" w:rsidP="000201AA">
      <w:pPr>
        <w:tabs>
          <w:tab w:val="left" w:pos="10260"/>
        </w:tabs>
        <w:ind w:left="-142" w:right="-81"/>
        <w:jc w:val="both"/>
      </w:pPr>
      <w:r w:rsidRPr="00AF46FE">
        <w:t>Показано, что в первой  стали эти величины  слабо зависят от скорости ударного нагружения, в то время как во второй</w:t>
      </w:r>
      <w:r w:rsidRPr="00102285">
        <w:t xml:space="preserve"> стали они немного возрастают</w:t>
      </w:r>
      <w:proofErr w:type="gramStart"/>
      <w:r w:rsidRPr="00102285">
        <w:t>.</w:t>
      </w:r>
      <w:r w:rsidR="000A352C" w:rsidRPr="000A352C">
        <w:t>Н</w:t>
      </w:r>
      <w:proofErr w:type="gramEnd"/>
      <w:r w:rsidR="000A352C" w:rsidRPr="000A352C">
        <w:t xml:space="preserve">аиболее значимым результатом испытаний является установление факта резкого возрастания дефекта массовой скорости на плато импульса сжатия. Это свидетельствует о том, что данная сталь обладает высокой  способностью к </w:t>
      </w:r>
      <w:proofErr w:type="spellStart"/>
      <w:r w:rsidR="000A352C" w:rsidRPr="000A352C">
        <w:t>энергопоглощению</w:t>
      </w:r>
      <w:proofErr w:type="spellEnd"/>
      <w:r w:rsidR="000A352C" w:rsidRPr="000A352C">
        <w:t xml:space="preserve">  при динамическом деформировании.   Стали </w:t>
      </w:r>
      <w:r w:rsidR="000A352C" w:rsidRPr="000A352C">
        <w:rPr>
          <w:i/>
        </w:rPr>
        <w:t>2</w:t>
      </w:r>
      <w:r w:rsidR="000A352C" w:rsidRPr="000A352C">
        <w:t xml:space="preserve">  соответствует немного меньшая величина динамического предела текучести по сравнению со сталью </w:t>
      </w:r>
      <w:r w:rsidR="000A352C" w:rsidRPr="000A352C">
        <w:rPr>
          <w:i/>
        </w:rPr>
        <w:t>1</w:t>
      </w:r>
      <w:r w:rsidR="000A352C" w:rsidRPr="000A352C">
        <w:t>, что и следовало ожидать после отжига. В то же время значение порога структурного перехода увеличилось на 20%. Известно, что чем выше порог структурного перехода, тем выше сопротивляемость материала высокоскоростному внедрению удлиненных ударников и пробиванию пробки [</w:t>
      </w:r>
      <w:r w:rsidR="009B1DC3" w:rsidRPr="009B1DC3">
        <w:t>1</w:t>
      </w:r>
      <w:r w:rsidR="000A352C" w:rsidRPr="000A352C">
        <w:t xml:space="preserve">]. Одновременно сталь  </w:t>
      </w:r>
      <w:r w:rsidR="000A352C" w:rsidRPr="000A352C">
        <w:rPr>
          <w:i/>
        </w:rPr>
        <w:t>2</w:t>
      </w:r>
      <w:r w:rsidR="000A352C" w:rsidRPr="000A352C">
        <w:t xml:space="preserve"> обладает  примерно на 16%  большей величиной сопротивления тыльному отколу. Это говорит о том, что за пробивание пробки и тыльный откол отвечают одинаковые механизмы, протекающие в процессе динамического деформирования и разрушения материала. В частности, структурные исследования показали, что повышенная динамическая пластичность стали </w:t>
      </w:r>
      <w:r w:rsidR="000A352C" w:rsidRPr="000A352C">
        <w:rPr>
          <w:i/>
        </w:rPr>
        <w:t>2</w:t>
      </w:r>
      <w:r w:rsidR="000A352C" w:rsidRPr="000A352C">
        <w:t xml:space="preserve">  обусловлена  активизацией механизма </w:t>
      </w:r>
      <w:proofErr w:type="spellStart"/>
      <w:r w:rsidR="000A352C" w:rsidRPr="000A352C">
        <w:t>двойникования</w:t>
      </w:r>
      <w:proofErr w:type="spellEnd"/>
      <w:r w:rsidR="000A352C" w:rsidRPr="000A352C">
        <w:t xml:space="preserve"> уже при невысокой скорости ударного нагружения. </w:t>
      </w:r>
    </w:p>
    <w:p w:rsidR="000A352C" w:rsidRPr="000A352C" w:rsidRDefault="000A352C" w:rsidP="000201AA">
      <w:pPr>
        <w:ind w:left="-142"/>
        <w:jc w:val="both"/>
      </w:pPr>
    </w:p>
    <w:p w:rsidR="000A352C" w:rsidRPr="000A352C" w:rsidRDefault="000A352C" w:rsidP="000201AA">
      <w:pPr>
        <w:ind w:left="-142"/>
        <w:jc w:val="both"/>
      </w:pPr>
      <w:r w:rsidRPr="000A352C">
        <w:t>Закалка с температуры от 1100</w:t>
      </w:r>
      <w:proofErr w:type="gramStart"/>
      <w:r w:rsidRPr="000A352C">
        <w:t>ºС</w:t>
      </w:r>
      <w:proofErr w:type="gramEnd"/>
      <w:r w:rsidRPr="000A352C">
        <w:t xml:space="preserve">   приводит к более однородному деформированию сталей в диапазоне скоростей 300÷700 м/с.  Несмотря на то, что предел текучести при отжиге немного уменьшается  (примерно на ~8%), откольная прочность увеличивается на 16% , а порог структурного перехода - на 20%.</w:t>
      </w:r>
    </w:p>
    <w:p w:rsidR="000A352C" w:rsidRPr="00464A23" w:rsidRDefault="000A352C" w:rsidP="000201AA">
      <w:pPr>
        <w:ind w:left="-142" w:right="180"/>
        <w:jc w:val="both"/>
      </w:pPr>
      <w:r w:rsidRPr="000A352C">
        <w:t>Ударные испытания азотосодержащей стали не выявили наличия α – ε фазового превращения при давлении 13 МПа, характерного для углеродистых сталей и железа</w:t>
      </w:r>
      <w:r w:rsidR="00C81CE6" w:rsidRPr="00C81CE6">
        <w:t xml:space="preserve"> [3]</w:t>
      </w:r>
      <w:r w:rsidRPr="000A352C">
        <w:t xml:space="preserve">. </w:t>
      </w:r>
      <w:r w:rsidR="00B1397A">
        <w:t xml:space="preserve">Об аналогичном поведении  азотосодержащих сталей доложено в работе </w:t>
      </w:r>
      <w:r w:rsidR="00B1397A" w:rsidRPr="00464A23">
        <w:t>[4].</w:t>
      </w:r>
    </w:p>
    <w:p w:rsidR="00C81CE6" w:rsidRPr="00C81CE6" w:rsidRDefault="00C81CE6" w:rsidP="000201AA">
      <w:pPr>
        <w:ind w:left="-142" w:right="180"/>
        <w:jc w:val="both"/>
      </w:pPr>
    </w:p>
    <w:p w:rsidR="000A352C" w:rsidRPr="00C81CE6" w:rsidRDefault="000A352C" w:rsidP="000201AA">
      <w:pPr>
        <w:ind w:left="-142" w:right="180"/>
        <w:jc w:val="both"/>
      </w:pPr>
      <w:r w:rsidRPr="000A352C">
        <w:t xml:space="preserve">  Работа проводится при поддержке гранта РФФИ  №  12-01-00340а.</w:t>
      </w:r>
    </w:p>
    <w:p w:rsidR="00C81CE6" w:rsidRDefault="00C81CE6" w:rsidP="000201AA">
      <w:pPr>
        <w:pStyle w:val="a3"/>
        <w:ind w:left="-142" w:right="31"/>
        <w:jc w:val="both"/>
        <w:rPr>
          <w:sz w:val="28"/>
          <w:szCs w:val="28"/>
        </w:rPr>
      </w:pPr>
    </w:p>
    <w:p w:rsidR="00464A23" w:rsidRDefault="00464A23" w:rsidP="000201AA">
      <w:pPr>
        <w:pStyle w:val="a3"/>
        <w:ind w:left="-142" w:right="3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81015" cy="34088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4A23" w:rsidRDefault="00464A23" w:rsidP="000201AA">
      <w:pPr>
        <w:pStyle w:val="a3"/>
        <w:ind w:left="-142" w:right="31"/>
        <w:jc w:val="both"/>
        <w:rPr>
          <w:sz w:val="28"/>
          <w:szCs w:val="28"/>
        </w:rPr>
      </w:pPr>
    </w:p>
    <w:p w:rsidR="00464A23" w:rsidRPr="00464A23" w:rsidRDefault="00464A23" w:rsidP="000201AA">
      <w:pPr>
        <w:pStyle w:val="a3"/>
        <w:ind w:left="-142" w:right="31"/>
        <w:jc w:val="both"/>
      </w:pPr>
      <w:r>
        <w:rPr>
          <w:sz w:val="28"/>
          <w:szCs w:val="28"/>
        </w:rPr>
        <w:t xml:space="preserve">Рис. 1. </w:t>
      </w:r>
      <w:r w:rsidRPr="00464A23">
        <w:t>Зависимость дефекта скорости на плато импульса сжатия от скорости ударника</w:t>
      </w:r>
      <w:r>
        <w:t xml:space="preserve"> для стали 1 и стали 2.</w:t>
      </w:r>
      <w:bookmarkStart w:id="0" w:name="_GoBack"/>
      <w:bookmarkEnd w:id="0"/>
    </w:p>
    <w:p w:rsidR="00464A23" w:rsidRPr="00464A23" w:rsidRDefault="00464A23" w:rsidP="000201AA">
      <w:pPr>
        <w:pStyle w:val="a3"/>
        <w:ind w:left="-142" w:right="31"/>
        <w:jc w:val="both"/>
        <w:rPr>
          <w:b/>
        </w:rPr>
      </w:pPr>
    </w:p>
    <w:p w:rsidR="00464A23" w:rsidRPr="00464A23" w:rsidRDefault="00464A23" w:rsidP="000201AA">
      <w:pPr>
        <w:pStyle w:val="a3"/>
        <w:ind w:left="-142" w:right="31"/>
        <w:jc w:val="both"/>
        <w:rPr>
          <w:b/>
        </w:rPr>
      </w:pPr>
      <w:r w:rsidRPr="00464A23">
        <w:rPr>
          <w:b/>
        </w:rPr>
        <w:t>Литература</w:t>
      </w:r>
    </w:p>
    <w:p w:rsidR="00464A23" w:rsidRPr="00464A23" w:rsidRDefault="00464A23" w:rsidP="000201AA">
      <w:pPr>
        <w:pStyle w:val="a3"/>
        <w:ind w:left="-142" w:right="31"/>
        <w:jc w:val="both"/>
        <w:rPr>
          <w:sz w:val="28"/>
          <w:szCs w:val="28"/>
        </w:rPr>
      </w:pPr>
    </w:p>
    <w:p w:rsidR="00C81CE6" w:rsidRPr="00C81CE6" w:rsidRDefault="00C81CE6" w:rsidP="000201AA">
      <w:pPr>
        <w:pStyle w:val="a3"/>
        <w:numPr>
          <w:ilvl w:val="0"/>
          <w:numId w:val="3"/>
        </w:numPr>
        <w:ind w:left="-142" w:right="31" w:firstLine="0"/>
        <w:jc w:val="both"/>
        <w:rPr>
          <w:lang w:val="en-US"/>
        </w:rPr>
      </w:pPr>
      <w:proofErr w:type="spellStart"/>
      <w:r w:rsidRPr="00C81CE6">
        <w:rPr>
          <w:lang w:val="en-US"/>
        </w:rPr>
        <w:t>Yu</w:t>
      </w:r>
      <w:r w:rsidRPr="00464A23">
        <w:rPr>
          <w:lang w:val="en-US"/>
        </w:rPr>
        <w:t>.</w:t>
      </w:r>
      <w:r w:rsidRPr="00C81CE6">
        <w:rPr>
          <w:lang w:val="en-US"/>
        </w:rPr>
        <w:t>I</w:t>
      </w:r>
      <w:proofErr w:type="spellEnd"/>
      <w:r w:rsidRPr="00464A23">
        <w:rPr>
          <w:lang w:val="en-US"/>
        </w:rPr>
        <w:t xml:space="preserve">. </w:t>
      </w:r>
      <w:proofErr w:type="spellStart"/>
      <w:r w:rsidRPr="00C81CE6">
        <w:rPr>
          <w:lang w:val="en-US"/>
        </w:rPr>
        <w:t>Meshcheryakov</w:t>
      </w:r>
      <w:proofErr w:type="spellEnd"/>
      <w:r w:rsidRPr="00464A23">
        <w:rPr>
          <w:lang w:val="en-US"/>
        </w:rPr>
        <w:t xml:space="preserve">. </w:t>
      </w:r>
      <w:r w:rsidRPr="00C81CE6">
        <w:rPr>
          <w:lang w:val="en-US"/>
        </w:rPr>
        <w:t xml:space="preserve">A.K.  </w:t>
      </w:r>
      <w:proofErr w:type="spellStart"/>
      <w:r w:rsidRPr="00C81CE6">
        <w:rPr>
          <w:lang w:val="en-US"/>
        </w:rPr>
        <w:t>Divakov</w:t>
      </w:r>
      <w:proofErr w:type="spellEnd"/>
      <w:r w:rsidRPr="00C81CE6">
        <w:rPr>
          <w:lang w:val="en-US"/>
        </w:rPr>
        <w:t>. Kinetics of microstructure and strain-rate dependence of materials.   Dymat Journal. (1994).</w:t>
      </w:r>
      <w:proofErr w:type="spellStart"/>
      <w:r w:rsidRPr="00C81CE6">
        <w:rPr>
          <w:lang w:val="en-US"/>
        </w:rPr>
        <w:t>Vol</w:t>
      </w:r>
      <w:proofErr w:type="spellEnd"/>
      <w:r w:rsidRPr="00C81CE6">
        <w:rPr>
          <w:lang w:val="en-US"/>
        </w:rPr>
        <w:t xml:space="preserve">, 1, No 4, pp. 271-278. </w:t>
      </w:r>
    </w:p>
    <w:p w:rsidR="00C81CE6" w:rsidRPr="00B1397A" w:rsidRDefault="00C81CE6" w:rsidP="000201AA">
      <w:pPr>
        <w:pStyle w:val="a3"/>
        <w:numPr>
          <w:ilvl w:val="0"/>
          <w:numId w:val="3"/>
        </w:numPr>
        <w:ind w:left="-142" w:right="31" w:firstLine="0"/>
        <w:jc w:val="both"/>
      </w:pPr>
      <w:r w:rsidRPr="00C81CE6">
        <w:t xml:space="preserve">Ю.И. Мещеряков, А.К. </w:t>
      </w:r>
      <w:proofErr w:type="spellStart"/>
      <w:r w:rsidRPr="00C81CE6">
        <w:t>Диваков</w:t>
      </w:r>
      <w:proofErr w:type="spellEnd"/>
      <w:r w:rsidRPr="00C81CE6">
        <w:t xml:space="preserve">. О влиянии процессов на фронте импульса сжатия на </w:t>
      </w:r>
      <w:proofErr w:type="spellStart"/>
      <w:r w:rsidRPr="00C81CE6">
        <w:t>откольную</w:t>
      </w:r>
      <w:proofErr w:type="spellEnd"/>
      <w:r w:rsidRPr="00C81CE6">
        <w:t xml:space="preserve"> прочность материала и сопротивление высокоскоростному внедрению.  (1999). ПМТФ. Том 44, № 6, </w:t>
      </w:r>
      <w:proofErr w:type="spellStart"/>
      <w:r w:rsidRPr="00C81CE6">
        <w:t>сс</w:t>
      </w:r>
      <w:proofErr w:type="spellEnd"/>
      <w:r w:rsidRPr="00C81CE6">
        <w:t>. 25-34.</w:t>
      </w:r>
    </w:p>
    <w:p w:rsidR="00B1397A" w:rsidRPr="00B1397A" w:rsidRDefault="00B1397A" w:rsidP="000201AA">
      <w:pPr>
        <w:pStyle w:val="a4"/>
        <w:tabs>
          <w:tab w:val="left" w:pos="3420"/>
          <w:tab w:val="left" w:pos="9214"/>
          <w:tab w:val="left" w:pos="9356"/>
          <w:tab w:val="left" w:pos="9639"/>
          <w:tab w:val="left" w:pos="9781"/>
        </w:tabs>
        <w:spacing w:line="240" w:lineRule="auto"/>
        <w:ind w:left="-142" w:right="3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Pr="00B1397A">
        <w:rPr>
          <w:rFonts w:ascii="Times New Roman" w:hAnsi="Times New Roman"/>
          <w:sz w:val="24"/>
          <w:szCs w:val="24"/>
          <w:lang w:val="en-US"/>
        </w:rPr>
        <w:t xml:space="preserve"> L.M. Barker, R.E. </w:t>
      </w:r>
      <w:proofErr w:type="spellStart"/>
      <w:r w:rsidRPr="00B1397A">
        <w:rPr>
          <w:rFonts w:ascii="Times New Roman" w:hAnsi="Times New Roman"/>
          <w:sz w:val="24"/>
          <w:szCs w:val="24"/>
          <w:lang w:val="en-US"/>
        </w:rPr>
        <w:t>Hollenbach</w:t>
      </w:r>
      <w:proofErr w:type="spellEnd"/>
      <w:r w:rsidRPr="00B139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1397A">
        <w:rPr>
          <w:rFonts w:ascii="Times New Roman" w:hAnsi="Times New Roman"/>
          <w:sz w:val="24"/>
          <w:szCs w:val="24"/>
        </w:rPr>
        <w:t>α</w:t>
      </w:r>
      <w:r w:rsidRPr="00B1397A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B1397A">
        <w:rPr>
          <w:rFonts w:ascii="Times New Roman" w:hAnsi="Times New Roman"/>
          <w:sz w:val="24"/>
          <w:szCs w:val="24"/>
        </w:rPr>
        <w:t>ε</w:t>
      </w:r>
      <w:r w:rsidRPr="00B1397A">
        <w:rPr>
          <w:rFonts w:ascii="Times New Roman" w:hAnsi="Times New Roman"/>
          <w:sz w:val="24"/>
          <w:szCs w:val="24"/>
          <w:lang w:val="en-US"/>
        </w:rPr>
        <w:t xml:space="preserve"> phase transition in iron.(1974). J. Appl. Phys. Vol. 45. No 11, pp.4872-4888. </w:t>
      </w:r>
    </w:p>
    <w:p w:rsidR="00C81CE6" w:rsidRPr="00C81CE6" w:rsidRDefault="00B1397A" w:rsidP="000201AA">
      <w:pPr>
        <w:pStyle w:val="a3"/>
        <w:ind w:left="-142" w:right="180"/>
        <w:jc w:val="both"/>
        <w:rPr>
          <w:lang w:val="en-US"/>
        </w:rPr>
      </w:pPr>
      <w:r>
        <w:rPr>
          <w:lang w:val="en-US"/>
        </w:rPr>
        <w:t>4.</w:t>
      </w:r>
      <w:r w:rsidR="00C81CE6" w:rsidRPr="00C81CE6">
        <w:rPr>
          <w:lang w:val="en-US"/>
        </w:rPr>
        <w:t xml:space="preserve"> H. </w:t>
      </w:r>
      <w:proofErr w:type="spellStart"/>
      <w:r w:rsidR="00C81CE6" w:rsidRPr="00C81CE6">
        <w:rPr>
          <w:lang w:val="en-US"/>
        </w:rPr>
        <w:t>Nahme</w:t>
      </w:r>
      <w:proofErr w:type="spellEnd"/>
      <w:r w:rsidR="00C81CE6" w:rsidRPr="00C81CE6">
        <w:rPr>
          <w:lang w:val="en-US"/>
        </w:rPr>
        <w:t xml:space="preserve">, E. </w:t>
      </w:r>
      <w:proofErr w:type="spellStart"/>
      <w:r w:rsidR="00C81CE6" w:rsidRPr="00C81CE6">
        <w:rPr>
          <w:lang w:val="en-US"/>
        </w:rPr>
        <w:t>Lach</w:t>
      </w:r>
      <w:proofErr w:type="spellEnd"/>
      <w:r w:rsidR="00C81CE6" w:rsidRPr="00C81CE6">
        <w:rPr>
          <w:lang w:val="en-US"/>
        </w:rPr>
        <w:t>. Determination of the mechanical behavior of nitrogen alloyed steel (P900) at strain rates 10</w:t>
      </w:r>
      <w:r w:rsidR="00C81CE6" w:rsidRPr="00C81CE6">
        <w:rPr>
          <w:vertAlign w:val="superscript"/>
          <w:lang w:val="en-US"/>
        </w:rPr>
        <w:t xml:space="preserve">-3 </w:t>
      </w:r>
      <w:r w:rsidR="00C81CE6" w:rsidRPr="00C81CE6">
        <w:rPr>
          <w:lang w:val="en-US"/>
        </w:rPr>
        <w:t>&lt; dϵ/</w:t>
      </w:r>
      <w:proofErr w:type="spellStart"/>
      <w:r w:rsidR="00C81CE6" w:rsidRPr="00C81CE6">
        <w:rPr>
          <w:lang w:val="en-US"/>
        </w:rPr>
        <w:t>dt</w:t>
      </w:r>
      <w:proofErr w:type="spellEnd"/>
      <w:proofErr w:type="gramStart"/>
      <w:r w:rsidR="00C81CE6" w:rsidRPr="00C81CE6">
        <w:rPr>
          <w:lang w:val="en-US"/>
        </w:rPr>
        <w:t>&lt;  2</w:t>
      </w:r>
      <w:proofErr w:type="gramEnd"/>
      <w:r w:rsidR="00C81CE6" w:rsidRPr="00C81CE6">
        <w:rPr>
          <w:lang w:val="en-US"/>
        </w:rPr>
        <w:t>· 10</w:t>
      </w:r>
      <w:r w:rsidR="00C81CE6" w:rsidRPr="00C81CE6">
        <w:rPr>
          <w:vertAlign w:val="superscript"/>
          <w:lang w:val="en-US"/>
        </w:rPr>
        <w:t xml:space="preserve">6 </w:t>
      </w:r>
      <w:r w:rsidR="00C81CE6" w:rsidRPr="00C81CE6">
        <w:rPr>
          <w:lang w:val="en-US"/>
        </w:rPr>
        <w:t>c</w:t>
      </w:r>
      <w:r w:rsidR="00C81CE6" w:rsidRPr="00C81CE6">
        <w:rPr>
          <w:vertAlign w:val="superscript"/>
          <w:lang w:val="en-US"/>
        </w:rPr>
        <w:t>-1</w:t>
      </w:r>
      <w:r w:rsidR="00C81CE6" w:rsidRPr="00C81CE6">
        <w:rPr>
          <w:lang w:val="en-US"/>
        </w:rPr>
        <w:t>. (1999)</w:t>
      </w:r>
      <w:proofErr w:type="gramStart"/>
      <w:r w:rsidR="00C81CE6" w:rsidRPr="00C81CE6">
        <w:rPr>
          <w:lang w:val="en-US"/>
        </w:rPr>
        <w:t xml:space="preserve">.  </w:t>
      </w:r>
      <w:proofErr w:type="spellStart"/>
      <w:r w:rsidR="00C81CE6" w:rsidRPr="00C81CE6">
        <w:rPr>
          <w:lang w:val="en-US"/>
        </w:rPr>
        <w:t>Int</w:t>
      </w:r>
      <w:proofErr w:type="spellEnd"/>
      <w:proofErr w:type="gramEnd"/>
      <w:r w:rsidR="00C81CE6" w:rsidRPr="00C81CE6">
        <w:rPr>
          <w:lang w:val="en-US"/>
        </w:rPr>
        <w:t xml:space="preserve"> Conf. “Shock Compression of Condensed Matter-1999”. </w:t>
      </w:r>
      <w:proofErr w:type="gramStart"/>
      <w:r w:rsidR="00C81CE6" w:rsidRPr="00C81CE6">
        <w:rPr>
          <w:lang w:val="en-US"/>
        </w:rPr>
        <w:t>AIP Proceedings-505.</w:t>
      </w:r>
      <w:proofErr w:type="gramEnd"/>
      <w:r w:rsidR="00C81CE6" w:rsidRPr="00C81CE6">
        <w:rPr>
          <w:lang w:val="en-US"/>
        </w:rPr>
        <w:t xml:space="preserve"> Part 1.pp. 467-470. </w:t>
      </w:r>
    </w:p>
    <w:p w:rsidR="00C81CE6" w:rsidRPr="00C81CE6" w:rsidRDefault="00C81CE6" w:rsidP="000201AA">
      <w:pPr>
        <w:pStyle w:val="a3"/>
        <w:ind w:left="-142" w:right="31"/>
        <w:jc w:val="both"/>
        <w:rPr>
          <w:lang w:val="en-US"/>
        </w:rPr>
      </w:pPr>
    </w:p>
    <w:p w:rsidR="00C81CE6" w:rsidRPr="00C81CE6" w:rsidRDefault="00C81CE6" w:rsidP="000201AA">
      <w:pPr>
        <w:ind w:left="-142" w:right="180"/>
        <w:jc w:val="both"/>
        <w:rPr>
          <w:lang w:val="en-US"/>
        </w:rPr>
      </w:pPr>
    </w:p>
    <w:p w:rsidR="000A352C" w:rsidRPr="00C81CE6" w:rsidRDefault="000A352C" w:rsidP="000201AA">
      <w:pPr>
        <w:ind w:left="-142" w:right="180"/>
        <w:jc w:val="both"/>
        <w:rPr>
          <w:lang w:val="en-US"/>
        </w:rPr>
      </w:pPr>
    </w:p>
    <w:sectPr w:rsidR="000A352C" w:rsidRPr="00C81CE6" w:rsidSect="00D0759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10F"/>
    <w:multiLevelType w:val="hybridMultilevel"/>
    <w:tmpl w:val="C1BA8A2A"/>
    <w:lvl w:ilvl="0" w:tplc="F4841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7CE5"/>
    <w:multiLevelType w:val="hybridMultilevel"/>
    <w:tmpl w:val="0A5C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23778"/>
    <w:multiLevelType w:val="hybridMultilevel"/>
    <w:tmpl w:val="2D9A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9A"/>
    <w:rsid w:val="000201AA"/>
    <w:rsid w:val="00047316"/>
    <w:rsid w:val="000A352C"/>
    <w:rsid w:val="00102285"/>
    <w:rsid w:val="00112EE2"/>
    <w:rsid w:val="001341D6"/>
    <w:rsid w:val="00231214"/>
    <w:rsid w:val="00464A23"/>
    <w:rsid w:val="006C3962"/>
    <w:rsid w:val="0096424B"/>
    <w:rsid w:val="009B1DC3"/>
    <w:rsid w:val="009F7A26"/>
    <w:rsid w:val="00AF46FE"/>
    <w:rsid w:val="00B0704C"/>
    <w:rsid w:val="00B1397A"/>
    <w:rsid w:val="00BB1B40"/>
    <w:rsid w:val="00C81CE6"/>
    <w:rsid w:val="00D0759A"/>
    <w:rsid w:val="00E0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E6"/>
    <w:pPr>
      <w:ind w:left="720"/>
      <w:contextualSpacing/>
    </w:pPr>
  </w:style>
  <w:style w:type="paragraph" w:styleId="a4">
    <w:name w:val="Body Text"/>
    <w:basedOn w:val="a"/>
    <w:link w:val="a5"/>
    <w:unhideWhenUsed/>
    <w:rsid w:val="00B1397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B1397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E6"/>
    <w:pPr>
      <w:ind w:left="720"/>
      <w:contextualSpacing/>
    </w:pPr>
  </w:style>
  <w:style w:type="paragraph" w:styleId="a4">
    <w:name w:val="Body Text"/>
    <w:basedOn w:val="a"/>
    <w:link w:val="a5"/>
    <w:unhideWhenUsed/>
    <w:rsid w:val="00B1397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B1397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70;&#1088;&#1080;&#1081;\Documents\&#1044;&#1048;&#1056;&#1052;-2-2013\&#1056;&#1080;&#1089;.6.%20&#1044;&#1048;&#1056;&#1052;-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8770940411376788"/>
          <c:y val="0.14870243026626148"/>
          <c:w val="0.46142771402721422"/>
          <c:h val="0.69337925531290701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[1]Лист1!$H$23:$H$26</c:f>
              <c:numCache>
                <c:formatCode>General</c:formatCode>
                <c:ptCount val="4"/>
                <c:pt idx="0">
                  <c:v>273.8</c:v>
                </c:pt>
                <c:pt idx="1">
                  <c:v>361.3</c:v>
                </c:pt>
                <c:pt idx="2">
                  <c:v>378.1</c:v>
                </c:pt>
                <c:pt idx="3">
                  <c:v>700.5</c:v>
                </c:pt>
              </c:numCache>
            </c:numRef>
          </c:xVal>
          <c:yVal>
            <c:numRef>
              <c:f>[1]Лист1!$I$23:$I$26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14.4</c:v>
                </c:pt>
                <c:pt idx="2">
                  <c:v>21.4</c:v>
                </c:pt>
                <c:pt idx="3">
                  <c:v>313</c:v>
                </c:pt>
              </c:numCache>
            </c:numRef>
          </c:yVal>
          <c:smooth val="1"/>
        </c:ser>
        <c:ser>
          <c:idx val="2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[1]Лист1!$H$6:$H$8</c:f>
              <c:numCache>
                <c:formatCode>General</c:formatCode>
                <c:ptCount val="3"/>
                <c:pt idx="0">
                  <c:v>310.8</c:v>
                </c:pt>
                <c:pt idx="1">
                  <c:v>456.2</c:v>
                </c:pt>
                <c:pt idx="2">
                  <c:v>667.4</c:v>
                </c:pt>
              </c:numCache>
            </c:numRef>
          </c:xVal>
          <c:yVal>
            <c:numRef>
              <c:f>[1]Лист1!$I$6:$I$8</c:f>
              <c:numCache>
                <c:formatCode>General</c:formatCode>
                <c:ptCount val="3"/>
                <c:pt idx="0">
                  <c:v>3.9</c:v>
                </c:pt>
                <c:pt idx="1">
                  <c:v>180.8</c:v>
                </c:pt>
                <c:pt idx="2">
                  <c:v>372.6</c:v>
                </c:pt>
              </c:numCache>
            </c:numRef>
          </c:yVal>
          <c:smooth val="1"/>
        </c:ser>
        <c:dLbls/>
        <c:axId val="126617472"/>
        <c:axId val="126627840"/>
      </c:scatterChart>
      <c:valAx>
        <c:axId val="126617472"/>
        <c:scaling>
          <c:orientation val="minMax"/>
          <c:min val="200"/>
        </c:scaling>
        <c:axPos val="b"/>
        <c:majorGridlines>
          <c:spPr>
            <a:ln w="3175">
              <a:solidFill>
                <a:srgbClr val="000000"/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 sz="1100" i="1"/>
                  <a:t>Uimp, </a:t>
                </a:r>
                <a:r>
                  <a:rPr lang="ru-RU" sz="1100" i="0"/>
                  <a:t>м/с</a:t>
                </a:r>
                <a:endParaRPr lang="ru-RU" sz="1100" i="1"/>
              </a:p>
            </c:rich>
          </c:tx>
          <c:layout>
            <c:manualLayout>
              <c:xMode val="edge"/>
              <c:yMode val="edge"/>
              <c:x val="0.67544865765499484"/>
              <c:y val="0.8044421887651523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627840"/>
        <c:crosses val="autoZero"/>
        <c:crossBetween val="midCat"/>
      </c:valAx>
      <c:valAx>
        <c:axId val="126627840"/>
        <c:scaling>
          <c:orientation val="minMax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dash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617472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0.56214</cdr:x>
      <cdr:y>0.35477</cdr:y>
    </cdr:from>
    <cdr:to>
      <cdr:x>0.60036</cdr:x>
      <cdr:y>0.41666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37294" y="1209308"/>
          <a:ext cx="213307" cy="2109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1" u="none" strike="noStrike" baseline="0">
              <a:solidFill>
                <a:srgbClr val="000000"/>
              </a:solidFill>
              <a:latin typeface="Arial Cyr"/>
              <a:cs typeface="Arial Cyr"/>
            </a:rPr>
            <a:t>2</a:t>
          </a:r>
          <a:endParaRPr lang="ru-RU" sz="1200" i="1"/>
        </a:p>
      </cdr:txBody>
    </cdr:sp>
  </cdr:relSizeAnchor>
  <cdr:relSizeAnchor xmlns:cdr="http://schemas.openxmlformats.org/drawingml/2006/chartDrawing">
    <cdr:from>
      <cdr:x>0.87125</cdr:x>
      <cdr:y>0.085</cdr:y>
    </cdr:from>
    <cdr:to>
      <cdr:x>0.87499</cdr:x>
      <cdr:y>0.11119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638877" y="633936"/>
          <a:ext cx="45670" cy="195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>
          <a:sp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0.4856</cdr:x>
      <cdr:y>0.21809</cdr:y>
    </cdr:from>
    <cdr:to>
      <cdr:x>0.52969</cdr:x>
      <cdr:y>0.27998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0140" y="743410"/>
          <a:ext cx="246067" cy="2109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1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endParaRPr lang="ru-RU" sz="1200" i="1"/>
        </a:p>
      </cdr:txBody>
    </cdr:sp>
  </cdr:relSizeAnchor>
  <cdr:relSizeAnchor xmlns:cdr="http://schemas.openxmlformats.org/drawingml/2006/chartDrawing">
    <cdr:from>
      <cdr:x>0.07509</cdr:x>
      <cdr:y>0</cdr:y>
    </cdr:from>
    <cdr:to>
      <cdr:x>0.256</cdr:x>
      <cdr:y>0.14315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9100" y="0"/>
          <a:ext cx="1009651" cy="487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i="1"/>
            <a:t>Udef ,  </a:t>
          </a:r>
          <a:r>
            <a:rPr lang="ru-RU" sz="1100" i="0"/>
            <a:t>м/с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Sasha</cp:lastModifiedBy>
  <cp:revision>2</cp:revision>
  <dcterms:created xsi:type="dcterms:W3CDTF">2013-06-10T08:37:00Z</dcterms:created>
  <dcterms:modified xsi:type="dcterms:W3CDTF">2013-06-10T08:37:00Z</dcterms:modified>
</cp:coreProperties>
</file>