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20" w:rsidRPr="001528C9" w:rsidRDefault="00EA3820" w:rsidP="000603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>УДК</w:t>
      </w:r>
      <w:r w:rsidR="001528C9" w:rsidRPr="001528C9">
        <w:rPr>
          <w:rFonts w:ascii="Times New Roman" w:hAnsi="Times New Roman" w:cs="Times New Roman"/>
          <w:sz w:val="20"/>
          <w:szCs w:val="20"/>
        </w:rPr>
        <w:t xml:space="preserve"> </w:t>
      </w:r>
      <w:r w:rsidR="001528C9">
        <w:rPr>
          <w:rFonts w:ascii="Times New Roman" w:hAnsi="Times New Roman" w:cs="Times New Roman"/>
          <w:sz w:val="20"/>
          <w:szCs w:val="20"/>
        </w:rPr>
        <w:t>338</w:t>
      </w:r>
    </w:p>
    <w:p w:rsidR="00EA3820" w:rsidRPr="001528C9" w:rsidRDefault="00EA3820" w:rsidP="000603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5949" w:rsidRPr="001528C9" w:rsidRDefault="001528C9" w:rsidP="000603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 xml:space="preserve">Обзор рынка ипотечного кредитования в России </w:t>
      </w:r>
      <w:r w:rsidR="00AE7DE6">
        <w:rPr>
          <w:rFonts w:ascii="Times New Roman" w:hAnsi="Times New Roman" w:cs="Times New Roman"/>
          <w:sz w:val="20"/>
          <w:szCs w:val="20"/>
        </w:rPr>
        <w:t xml:space="preserve">и Омской области </w:t>
      </w:r>
      <w:r w:rsidRPr="001528C9">
        <w:rPr>
          <w:rFonts w:ascii="Times New Roman" w:hAnsi="Times New Roman" w:cs="Times New Roman"/>
          <w:sz w:val="20"/>
          <w:szCs w:val="20"/>
        </w:rPr>
        <w:t>за 2017 год</w:t>
      </w:r>
    </w:p>
    <w:p w:rsidR="00CC5949" w:rsidRPr="001528C9" w:rsidRDefault="00CC5949" w:rsidP="000603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1528C9" w:rsidRPr="00060328" w:rsidRDefault="007948BB" w:rsidP="00060328">
      <w:pPr>
        <w:pStyle w:val="Default"/>
        <w:ind w:firstLine="567"/>
        <w:jc w:val="center"/>
        <w:rPr>
          <w:iCs/>
          <w:sz w:val="20"/>
          <w:szCs w:val="20"/>
        </w:rPr>
      </w:pPr>
      <w:r w:rsidRPr="00060328">
        <w:rPr>
          <w:iCs/>
          <w:sz w:val="20"/>
          <w:szCs w:val="20"/>
        </w:rPr>
        <w:t xml:space="preserve">С. В. Тарута, </w:t>
      </w:r>
      <w:r w:rsidR="001528C9" w:rsidRPr="00060328">
        <w:rPr>
          <w:iCs/>
          <w:sz w:val="20"/>
          <w:szCs w:val="20"/>
        </w:rPr>
        <w:t xml:space="preserve">М. Д. </w:t>
      </w:r>
      <w:proofErr w:type="spellStart"/>
      <w:r w:rsidR="001528C9" w:rsidRPr="00060328">
        <w:rPr>
          <w:iCs/>
          <w:sz w:val="20"/>
          <w:szCs w:val="20"/>
        </w:rPr>
        <w:t>Чернорай</w:t>
      </w:r>
      <w:proofErr w:type="spellEnd"/>
    </w:p>
    <w:p w:rsidR="001528C9" w:rsidRPr="001528C9" w:rsidRDefault="001528C9" w:rsidP="00060328">
      <w:pPr>
        <w:pStyle w:val="Default"/>
        <w:ind w:firstLine="567"/>
        <w:jc w:val="center"/>
        <w:rPr>
          <w:i/>
          <w:iCs/>
          <w:sz w:val="20"/>
          <w:szCs w:val="20"/>
        </w:rPr>
      </w:pPr>
      <w:r w:rsidRPr="001528C9">
        <w:rPr>
          <w:i/>
          <w:iCs/>
          <w:sz w:val="20"/>
          <w:szCs w:val="20"/>
        </w:rPr>
        <w:t>Омский государственный технический университет, г. Омск, Россия</w:t>
      </w:r>
    </w:p>
    <w:p w:rsidR="001528C9" w:rsidRPr="001528C9" w:rsidRDefault="001528C9" w:rsidP="00060328">
      <w:pPr>
        <w:pStyle w:val="Default"/>
        <w:ind w:firstLine="567"/>
        <w:jc w:val="center"/>
        <w:rPr>
          <w:i/>
          <w:iCs/>
          <w:sz w:val="20"/>
          <w:szCs w:val="20"/>
        </w:rPr>
      </w:pPr>
      <w:r w:rsidRPr="001528C9">
        <w:rPr>
          <w:i/>
          <w:iCs/>
          <w:sz w:val="20"/>
          <w:szCs w:val="20"/>
        </w:rPr>
        <w:t>Омский государственный технический университет, г. Омск, Россия</w:t>
      </w:r>
    </w:p>
    <w:p w:rsidR="00065203" w:rsidRPr="001528C9" w:rsidRDefault="00065203" w:rsidP="00194D39">
      <w:pPr>
        <w:pStyle w:val="Default"/>
        <w:ind w:firstLine="284"/>
        <w:jc w:val="both"/>
        <w:rPr>
          <w:i/>
          <w:iCs/>
          <w:sz w:val="20"/>
          <w:szCs w:val="20"/>
        </w:rPr>
      </w:pPr>
    </w:p>
    <w:p w:rsidR="00357088" w:rsidRDefault="00357088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15E">
        <w:rPr>
          <w:rFonts w:ascii="Times New Roman" w:hAnsi="Times New Roman" w:cs="Times New Roman"/>
          <w:b/>
          <w:i/>
          <w:sz w:val="20"/>
          <w:szCs w:val="20"/>
        </w:rPr>
        <w:t>Аннотация</w:t>
      </w:r>
      <w:r w:rsidR="006D315E">
        <w:rPr>
          <w:rFonts w:ascii="Times New Roman" w:hAnsi="Times New Roman" w:cs="Times New Roman"/>
          <w:b/>
          <w:i/>
          <w:sz w:val="20"/>
          <w:szCs w:val="20"/>
        </w:rPr>
        <w:t xml:space="preserve"> – </w:t>
      </w:r>
      <w:r w:rsidR="003C055D" w:rsidRPr="006D315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C055D" w:rsidRPr="006D315E">
        <w:rPr>
          <w:rFonts w:ascii="Times New Roman" w:hAnsi="Times New Roman" w:cs="Times New Roman"/>
          <w:b/>
          <w:sz w:val="20"/>
          <w:szCs w:val="20"/>
        </w:rPr>
        <w:t xml:space="preserve">В статье </w:t>
      </w:r>
      <w:r w:rsidR="006D315E">
        <w:rPr>
          <w:rFonts w:ascii="Times New Roman" w:hAnsi="Times New Roman" w:cs="Times New Roman"/>
          <w:b/>
          <w:sz w:val="20"/>
          <w:szCs w:val="20"/>
        </w:rPr>
        <w:t>даны определения ипотеки</w:t>
      </w:r>
      <w:proofErr w:type="gramStart"/>
      <w:r w:rsidR="006D315E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="006D315E">
        <w:rPr>
          <w:rFonts w:ascii="Times New Roman" w:hAnsi="Times New Roman" w:cs="Times New Roman"/>
          <w:b/>
          <w:sz w:val="20"/>
          <w:szCs w:val="20"/>
        </w:rPr>
        <w:t xml:space="preserve"> О</w:t>
      </w:r>
      <w:r w:rsidR="007948BB" w:rsidRPr="006D315E">
        <w:rPr>
          <w:rFonts w:ascii="Times New Roman" w:hAnsi="Times New Roman" w:cs="Times New Roman"/>
          <w:b/>
          <w:sz w:val="20"/>
          <w:szCs w:val="20"/>
        </w:rPr>
        <w:t>писано развити</w:t>
      </w:r>
      <w:r w:rsidR="007948BB" w:rsidRPr="006D315E">
        <w:rPr>
          <w:rFonts w:ascii="Times New Roman" w:hAnsi="Times New Roman" w:cs="Times New Roman"/>
          <w:b/>
          <w:sz w:val="20"/>
          <w:szCs w:val="20"/>
        </w:rPr>
        <w:t xml:space="preserve">е </w:t>
      </w:r>
      <w:r w:rsidR="003C055D" w:rsidRPr="006D315E">
        <w:rPr>
          <w:rFonts w:ascii="Times New Roman" w:hAnsi="Times New Roman" w:cs="Times New Roman"/>
          <w:b/>
          <w:sz w:val="20"/>
          <w:szCs w:val="20"/>
        </w:rPr>
        <w:t xml:space="preserve">ипотечного кредитования </w:t>
      </w:r>
      <w:r w:rsidR="007948BB" w:rsidRPr="006D315E">
        <w:rPr>
          <w:rFonts w:ascii="Times New Roman" w:hAnsi="Times New Roman" w:cs="Times New Roman"/>
          <w:b/>
          <w:sz w:val="20"/>
          <w:szCs w:val="20"/>
        </w:rPr>
        <w:t xml:space="preserve">в России </w:t>
      </w:r>
      <w:r w:rsidR="003C055D" w:rsidRPr="006D315E">
        <w:rPr>
          <w:rFonts w:ascii="Times New Roman" w:hAnsi="Times New Roman" w:cs="Times New Roman"/>
          <w:b/>
          <w:sz w:val="20"/>
          <w:szCs w:val="20"/>
        </w:rPr>
        <w:t xml:space="preserve">за </w:t>
      </w:r>
      <w:r w:rsidR="007948BB" w:rsidRPr="006D315E">
        <w:rPr>
          <w:rFonts w:ascii="Times New Roman" w:hAnsi="Times New Roman" w:cs="Times New Roman"/>
          <w:b/>
          <w:sz w:val="20"/>
          <w:szCs w:val="20"/>
        </w:rPr>
        <w:t xml:space="preserve">последние </w:t>
      </w:r>
      <w:r w:rsidR="003C055D" w:rsidRPr="006D315E">
        <w:rPr>
          <w:rFonts w:ascii="Times New Roman" w:hAnsi="Times New Roman" w:cs="Times New Roman"/>
          <w:b/>
          <w:sz w:val="20"/>
          <w:szCs w:val="20"/>
        </w:rPr>
        <w:t>5 лет</w:t>
      </w:r>
      <w:proofErr w:type="gramStart"/>
      <w:r w:rsidR="006D315E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="003C055D" w:rsidRPr="006D31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315E" w:rsidRPr="006D315E">
        <w:rPr>
          <w:rFonts w:ascii="Times New Roman" w:hAnsi="Times New Roman" w:cs="Times New Roman"/>
          <w:b/>
          <w:sz w:val="20"/>
          <w:szCs w:val="20"/>
        </w:rPr>
        <w:t xml:space="preserve">Рассмотрены </w:t>
      </w:r>
      <w:r w:rsidR="007948BB" w:rsidRPr="006D315E">
        <w:rPr>
          <w:rFonts w:ascii="Times New Roman" w:hAnsi="Times New Roman" w:cs="Times New Roman"/>
          <w:b/>
          <w:sz w:val="20"/>
          <w:szCs w:val="20"/>
        </w:rPr>
        <w:t>изменения показателей</w:t>
      </w:r>
      <w:r w:rsidR="007948BB" w:rsidRPr="006D315E">
        <w:rPr>
          <w:rFonts w:ascii="Times New Roman" w:hAnsi="Times New Roman" w:cs="Times New Roman"/>
          <w:b/>
          <w:sz w:val="20"/>
          <w:szCs w:val="20"/>
        </w:rPr>
        <w:t>, характеризующих рынок</w:t>
      </w:r>
      <w:r w:rsidR="007948BB" w:rsidRPr="006D31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C055D" w:rsidRPr="006D315E">
        <w:rPr>
          <w:rFonts w:ascii="Times New Roman" w:hAnsi="Times New Roman" w:cs="Times New Roman"/>
          <w:b/>
          <w:sz w:val="20"/>
          <w:szCs w:val="20"/>
        </w:rPr>
        <w:t xml:space="preserve">ипотечного кредитования </w:t>
      </w:r>
      <w:r w:rsidR="007948BB" w:rsidRPr="006D315E">
        <w:rPr>
          <w:rFonts w:ascii="Times New Roman" w:hAnsi="Times New Roman" w:cs="Times New Roman"/>
          <w:b/>
          <w:sz w:val="20"/>
          <w:szCs w:val="20"/>
        </w:rPr>
        <w:t xml:space="preserve">по состоянию </w:t>
      </w:r>
      <w:r w:rsidR="003C055D" w:rsidRPr="006D315E">
        <w:rPr>
          <w:rFonts w:ascii="Times New Roman" w:hAnsi="Times New Roman" w:cs="Times New Roman"/>
          <w:b/>
          <w:sz w:val="20"/>
          <w:szCs w:val="20"/>
        </w:rPr>
        <w:t>на 2017 год</w:t>
      </w:r>
      <w:proofErr w:type="gramStart"/>
      <w:r w:rsidR="003C055D" w:rsidRPr="006D315E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="003C055D" w:rsidRPr="006D31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315E" w:rsidRPr="006D315E">
        <w:rPr>
          <w:rFonts w:ascii="Times New Roman" w:hAnsi="Times New Roman" w:cs="Times New Roman"/>
          <w:b/>
          <w:sz w:val="20"/>
          <w:szCs w:val="20"/>
        </w:rPr>
        <w:t xml:space="preserve">Описываются </w:t>
      </w:r>
      <w:r w:rsidR="006D315E" w:rsidRPr="006D315E">
        <w:rPr>
          <w:rFonts w:ascii="Times New Roman" w:hAnsi="Times New Roman" w:cs="Times New Roman"/>
          <w:b/>
          <w:sz w:val="20"/>
          <w:szCs w:val="20"/>
        </w:rPr>
        <w:t xml:space="preserve">такие показатели, как количество предоставленных кредитов, объём предоставленных кредитов, задолженность по предоставленным кредитам, средневзвешенный срок кредитования, средневзвешенная ставка. </w:t>
      </w:r>
      <w:r w:rsidR="006D315E" w:rsidRPr="006D315E">
        <w:rPr>
          <w:rFonts w:ascii="Times New Roman" w:hAnsi="Times New Roman" w:cs="Times New Roman"/>
          <w:b/>
          <w:sz w:val="20"/>
          <w:szCs w:val="20"/>
        </w:rPr>
        <w:t>Описаны п</w:t>
      </w:r>
      <w:r w:rsidR="006D315E" w:rsidRPr="006D315E">
        <w:rPr>
          <w:rFonts w:ascii="Times New Roman" w:hAnsi="Times New Roman" w:cs="Times New Roman"/>
          <w:b/>
          <w:sz w:val="20"/>
          <w:szCs w:val="20"/>
        </w:rPr>
        <w:t xml:space="preserve">ричины уменьшения объёмов </w:t>
      </w:r>
      <w:r w:rsidR="006D315E" w:rsidRPr="006D315E">
        <w:rPr>
          <w:rFonts w:ascii="Times New Roman" w:hAnsi="Times New Roman" w:cs="Times New Roman"/>
          <w:b/>
          <w:sz w:val="20"/>
          <w:szCs w:val="20"/>
        </w:rPr>
        <w:t xml:space="preserve">кредитования </w:t>
      </w:r>
      <w:r w:rsidR="006D315E" w:rsidRPr="006D315E"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="006D315E" w:rsidRPr="006D315E">
        <w:rPr>
          <w:rFonts w:ascii="Times New Roman" w:hAnsi="Times New Roman" w:cs="Times New Roman"/>
          <w:b/>
          <w:sz w:val="20"/>
          <w:szCs w:val="20"/>
        </w:rPr>
        <w:t xml:space="preserve">рост </w:t>
      </w:r>
      <w:r w:rsidR="006D315E" w:rsidRPr="006D315E">
        <w:rPr>
          <w:rFonts w:ascii="Times New Roman" w:hAnsi="Times New Roman" w:cs="Times New Roman"/>
          <w:b/>
          <w:sz w:val="20"/>
          <w:szCs w:val="20"/>
        </w:rPr>
        <w:t xml:space="preserve">задолженности по предоставленным кредитам </w:t>
      </w:r>
      <w:r w:rsidR="007948BB" w:rsidRPr="006D315E">
        <w:rPr>
          <w:rFonts w:ascii="Times New Roman" w:hAnsi="Times New Roman" w:cs="Times New Roman"/>
          <w:b/>
          <w:sz w:val="20"/>
          <w:szCs w:val="20"/>
        </w:rPr>
        <w:t>Сделан обзор</w:t>
      </w:r>
      <w:r w:rsidR="00CC5949" w:rsidRPr="006D315E">
        <w:rPr>
          <w:rFonts w:ascii="Times New Roman" w:hAnsi="Times New Roman" w:cs="Times New Roman"/>
          <w:b/>
          <w:sz w:val="20"/>
          <w:szCs w:val="20"/>
        </w:rPr>
        <w:t xml:space="preserve"> направлени</w:t>
      </w:r>
      <w:r w:rsidR="007948BB" w:rsidRPr="006D315E">
        <w:rPr>
          <w:rFonts w:ascii="Times New Roman" w:hAnsi="Times New Roman" w:cs="Times New Roman"/>
          <w:b/>
          <w:sz w:val="20"/>
          <w:szCs w:val="20"/>
        </w:rPr>
        <w:t>й</w:t>
      </w:r>
      <w:r w:rsidR="00CC5949" w:rsidRPr="006D315E">
        <w:rPr>
          <w:rFonts w:ascii="Times New Roman" w:hAnsi="Times New Roman" w:cs="Times New Roman"/>
          <w:b/>
          <w:sz w:val="20"/>
          <w:szCs w:val="20"/>
        </w:rPr>
        <w:t xml:space="preserve"> ипотечного кредитования по выбранным банкам и сделаны выводы. </w:t>
      </w:r>
      <w:r w:rsidR="003C055D" w:rsidRPr="006D315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D315E" w:rsidRPr="006D315E" w:rsidRDefault="006D315E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5949" w:rsidRDefault="00CC5949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D39">
        <w:rPr>
          <w:rFonts w:ascii="Times New Roman" w:hAnsi="Times New Roman" w:cs="Times New Roman"/>
          <w:b/>
          <w:i/>
          <w:sz w:val="20"/>
          <w:szCs w:val="20"/>
        </w:rPr>
        <w:t>Ключевые слова</w:t>
      </w:r>
      <w:r w:rsidR="006D315E" w:rsidRPr="00194D39">
        <w:rPr>
          <w:rFonts w:ascii="Times New Roman" w:hAnsi="Times New Roman" w:cs="Times New Roman"/>
          <w:b/>
          <w:i/>
          <w:sz w:val="20"/>
          <w:szCs w:val="20"/>
        </w:rPr>
        <w:t xml:space="preserve"> – </w:t>
      </w:r>
      <w:r w:rsidRPr="00194D39">
        <w:rPr>
          <w:rFonts w:ascii="Times New Roman" w:hAnsi="Times New Roman" w:cs="Times New Roman"/>
          <w:b/>
          <w:sz w:val="20"/>
          <w:szCs w:val="20"/>
        </w:rPr>
        <w:t>ипотека, ставка</w:t>
      </w:r>
      <w:r w:rsidR="007948BB" w:rsidRPr="00194D39">
        <w:rPr>
          <w:rFonts w:ascii="Times New Roman" w:hAnsi="Times New Roman" w:cs="Times New Roman"/>
          <w:b/>
          <w:sz w:val="20"/>
          <w:szCs w:val="20"/>
        </w:rPr>
        <w:t xml:space="preserve"> кредита</w:t>
      </w:r>
      <w:r w:rsidRPr="00194D3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060328" w:rsidRPr="00194D39">
        <w:rPr>
          <w:rFonts w:ascii="Times New Roman" w:hAnsi="Times New Roman" w:cs="Times New Roman"/>
          <w:b/>
          <w:sz w:val="20"/>
          <w:szCs w:val="20"/>
        </w:rPr>
        <w:t>банки, ипотечные программы</w:t>
      </w:r>
    </w:p>
    <w:p w:rsidR="00194D39" w:rsidRPr="00194D39" w:rsidRDefault="00194D39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D315E" w:rsidRPr="00194D39" w:rsidRDefault="006D315E" w:rsidP="00194D39">
      <w:pPr>
        <w:spacing w:after="0" w:line="240" w:lineRule="auto"/>
        <w:ind w:firstLine="284"/>
        <w:jc w:val="center"/>
        <w:rPr>
          <w:rFonts w:ascii="Times New Roman" w:hAnsi="Times New Roman" w:cs="Times New Roman"/>
          <w:smallCaps/>
          <w:color w:val="000000"/>
          <w:sz w:val="20"/>
          <w:szCs w:val="20"/>
        </w:rPr>
      </w:pPr>
      <w:r w:rsidRPr="00194D39">
        <w:rPr>
          <w:rFonts w:ascii="Times New Roman" w:hAnsi="Times New Roman" w:cs="Times New Roman"/>
          <w:smallCaps/>
          <w:color w:val="000000"/>
          <w:sz w:val="20"/>
          <w:szCs w:val="20"/>
          <w:lang w:val="en-US"/>
        </w:rPr>
        <w:t>I</w:t>
      </w:r>
      <w:r w:rsidRPr="00194D39">
        <w:rPr>
          <w:rFonts w:ascii="Times New Roman" w:hAnsi="Times New Roman" w:cs="Times New Roman"/>
          <w:smallCaps/>
          <w:color w:val="000000"/>
          <w:sz w:val="20"/>
          <w:szCs w:val="20"/>
        </w:rPr>
        <w:t>. Введение</w:t>
      </w:r>
    </w:p>
    <w:p w:rsidR="00060328" w:rsidRPr="00194D39" w:rsidRDefault="00060328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E5ECB" w:rsidRDefault="00B067BD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94D39">
        <w:rPr>
          <w:rFonts w:ascii="Times New Roman" w:hAnsi="Times New Roman" w:cs="Times New Roman"/>
          <w:sz w:val="20"/>
          <w:szCs w:val="20"/>
        </w:rPr>
        <w:t>Вопрос приобретения жилья является достаточно острой и актуальной проблемой для большинства</w:t>
      </w:r>
      <w:r w:rsidRPr="001528C9">
        <w:rPr>
          <w:rFonts w:ascii="Times New Roman" w:hAnsi="Times New Roman" w:cs="Times New Roman"/>
          <w:sz w:val="20"/>
          <w:szCs w:val="20"/>
        </w:rPr>
        <w:t xml:space="preserve"> жителей Российской Федерации. </w:t>
      </w:r>
      <w:r w:rsidR="00615F1A" w:rsidRPr="001528C9">
        <w:rPr>
          <w:rFonts w:ascii="Times New Roman" w:hAnsi="Times New Roman" w:cs="Times New Roman"/>
          <w:sz w:val="20"/>
          <w:szCs w:val="20"/>
        </w:rPr>
        <w:t xml:space="preserve">В современных условиях </w:t>
      </w:r>
      <w:r w:rsidR="0000554F" w:rsidRPr="001528C9">
        <w:rPr>
          <w:rFonts w:ascii="Times New Roman" w:hAnsi="Times New Roman" w:cs="Times New Roman"/>
          <w:sz w:val="20"/>
          <w:szCs w:val="20"/>
        </w:rPr>
        <w:t xml:space="preserve">для многих </w:t>
      </w:r>
      <w:r w:rsidR="00615F1A" w:rsidRPr="001528C9">
        <w:rPr>
          <w:rFonts w:ascii="Times New Roman" w:hAnsi="Times New Roman" w:cs="Times New Roman"/>
          <w:sz w:val="20"/>
          <w:szCs w:val="20"/>
        </w:rPr>
        <w:t xml:space="preserve">представляет </w:t>
      </w:r>
      <w:r w:rsidR="00567436" w:rsidRPr="001528C9">
        <w:rPr>
          <w:rFonts w:ascii="Times New Roman" w:hAnsi="Times New Roman" w:cs="Times New Roman"/>
          <w:sz w:val="20"/>
          <w:szCs w:val="20"/>
        </w:rPr>
        <w:t>трудность накопить нужную сумму</w:t>
      </w:r>
      <w:r w:rsidR="0000554F" w:rsidRPr="001528C9">
        <w:rPr>
          <w:rFonts w:ascii="Times New Roman" w:hAnsi="Times New Roman" w:cs="Times New Roman"/>
          <w:sz w:val="20"/>
          <w:szCs w:val="20"/>
        </w:rPr>
        <w:t xml:space="preserve">, поэтому люди прибегают к такой банковской услуге  как ипотечное кредитование.  Ипотека позволяет приобрести недвижимость и </w:t>
      </w:r>
      <w:proofErr w:type="gramStart"/>
      <w:r w:rsidR="0000554F" w:rsidRPr="001528C9">
        <w:rPr>
          <w:rFonts w:ascii="Times New Roman" w:hAnsi="Times New Roman" w:cs="Times New Roman"/>
          <w:sz w:val="20"/>
          <w:szCs w:val="20"/>
        </w:rPr>
        <w:t>оплачивать её стоимость в</w:t>
      </w:r>
      <w:proofErr w:type="gramEnd"/>
      <w:r w:rsidR="0000554F" w:rsidRPr="001528C9">
        <w:rPr>
          <w:rFonts w:ascii="Times New Roman" w:hAnsi="Times New Roman" w:cs="Times New Roman"/>
          <w:sz w:val="20"/>
          <w:szCs w:val="20"/>
        </w:rPr>
        <w:t xml:space="preserve"> течение нескольких лет.</w:t>
      </w:r>
    </w:p>
    <w:p w:rsidR="00194D39" w:rsidRPr="001528C9" w:rsidRDefault="00194D39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194D39" w:rsidRPr="00194D39" w:rsidRDefault="00194D39" w:rsidP="00194D39">
      <w:pPr>
        <w:spacing w:after="0" w:line="240" w:lineRule="auto"/>
        <w:ind w:firstLine="284"/>
        <w:jc w:val="center"/>
        <w:rPr>
          <w:rFonts w:ascii="Times New Roman" w:hAnsi="Times New Roman" w:cs="Times New Roman"/>
          <w:smallCaps/>
          <w:color w:val="000000"/>
          <w:sz w:val="20"/>
          <w:szCs w:val="20"/>
          <w:lang w:val="en-US"/>
        </w:rPr>
      </w:pPr>
      <w:r w:rsidRPr="00194D39">
        <w:rPr>
          <w:rFonts w:ascii="Times New Roman" w:hAnsi="Times New Roman" w:cs="Times New Roman"/>
          <w:smallCaps/>
          <w:color w:val="000000"/>
          <w:sz w:val="20"/>
          <w:szCs w:val="20"/>
          <w:lang w:val="en-US"/>
        </w:rPr>
        <w:t>II. Постановка задачи</w:t>
      </w:r>
    </w:p>
    <w:p w:rsidR="00194D39" w:rsidRPr="00194D39" w:rsidRDefault="00194D39" w:rsidP="00194D39">
      <w:pPr>
        <w:spacing w:after="0" w:line="240" w:lineRule="auto"/>
        <w:ind w:firstLine="284"/>
        <w:jc w:val="center"/>
        <w:rPr>
          <w:rFonts w:ascii="Times New Roman" w:hAnsi="Times New Roman" w:cs="Times New Roman"/>
          <w:smallCaps/>
          <w:color w:val="000000"/>
          <w:sz w:val="20"/>
          <w:szCs w:val="20"/>
          <w:lang w:val="en-US"/>
        </w:rPr>
      </w:pPr>
    </w:p>
    <w:p w:rsidR="000801FE" w:rsidRPr="001528C9" w:rsidRDefault="00397A6E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>Для того</w:t>
      </w:r>
      <w:proofErr w:type="gramStart"/>
      <w:r w:rsidRPr="001528C9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1528C9">
        <w:rPr>
          <w:rFonts w:ascii="Times New Roman" w:hAnsi="Times New Roman" w:cs="Times New Roman"/>
          <w:sz w:val="20"/>
          <w:szCs w:val="20"/>
        </w:rPr>
        <w:t xml:space="preserve"> чтобы дать анализ изменениям в ипотечном кредитовании, рассмотрим сущно</w:t>
      </w:r>
      <w:r w:rsidR="000801FE" w:rsidRPr="001528C9">
        <w:rPr>
          <w:rFonts w:ascii="Times New Roman" w:hAnsi="Times New Roman" w:cs="Times New Roman"/>
          <w:sz w:val="20"/>
          <w:szCs w:val="20"/>
        </w:rPr>
        <w:t>сть данного понятия</w:t>
      </w:r>
      <w:r w:rsidR="00202446" w:rsidRPr="001528C9">
        <w:rPr>
          <w:rFonts w:ascii="Times New Roman" w:hAnsi="Times New Roman" w:cs="Times New Roman"/>
          <w:sz w:val="20"/>
          <w:szCs w:val="20"/>
        </w:rPr>
        <w:t>.</w:t>
      </w:r>
      <w:r w:rsidR="00004208" w:rsidRPr="001528C9">
        <w:rPr>
          <w:rFonts w:ascii="Times New Roman" w:hAnsi="Times New Roman" w:cs="Times New Roman"/>
          <w:sz w:val="20"/>
          <w:szCs w:val="20"/>
        </w:rPr>
        <w:t xml:space="preserve"> </w:t>
      </w:r>
      <w:r w:rsidR="002B7595" w:rsidRPr="001528C9">
        <w:rPr>
          <w:rFonts w:ascii="Times New Roman" w:hAnsi="Times New Roman" w:cs="Times New Roman"/>
          <w:sz w:val="20"/>
          <w:szCs w:val="20"/>
        </w:rPr>
        <w:t xml:space="preserve">Согласно статьям 1 и 2  Федерального закона от 16.07.1998 N 102-ФЗ "Об ипотеке (залоге недвижимости)" ипотеку рассматривают как залог недвижимости. </w:t>
      </w:r>
      <w:r w:rsidR="002D42F2" w:rsidRPr="001528C9">
        <w:rPr>
          <w:rFonts w:ascii="Times New Roman" w:hAnsi="Times New Roman" w:cs="Times New Roman"/>
          <w:sz w:val="20"/>
          <w:szCs w:val="20"/>
        </w:rPr>
        <w:t>Одна сторона по договору об ипотеке является залогодержателем</w:t>
      </w:r>
      <w:r w:rsidR="00725A37" w:rsidRPr="001528C9">
        <w:rPr>
          <w:rFonts w:ascii="Times New Roman" w:hAnsi="Times New Roman" w:cs="Times New Roman"/>
          <w:sz w:val="20"/>
          <w:szCs w:val="20"/>
        </w:rPr>
        <w:t xml:space="preserve"> (коммерческий банк)</w:t>
      </w:r>
      <w:r w:rsidR="002D42F2" w:rsidRPr="001528C9">
        <w:rPr>
          <w:rFonts w:ascii="Times New Roman" w:hAnsi="Times New Roman" w:cs="Times New Roman"/>
          <w:sz w:val="20"/>
          <w:szCs w:val="20"/>
        </w:rPr>
        <w:t xml:space="preserve">, который вправе </w:t>
      </w:r>
      <w:r w:rsidR="00725A37" w:rsidRPr="001528C9">
        <w:rPr>
          <w:rFonts w:ascii="Times New Roman" w:hAnsi="Times New Roman" w:cs="Times New Roman"/>
          <w:sz w:val="20"/>
          <w:szCs w:val="20"/>
        </w:rPr>
        <w:t>получить удовлетворение своих денежных требований к должнику из стоимости заложенного недвижимого имущества. Другая сторон</w:t>
      </w:r>
      <w:proofErr w:type="gramStart"/>
      <w:r w:rsidR="00725A37" w:rsidRPr="001528C9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="00725A37" w:rsidRPr="001528C9">
        <w:rPr>
          <w:rFonts w:ascii="Times New Roman" w:hAnsi="Times New Roman" w:cs="Times New Roman"/>
          <w:sz w:val="20"/>
          <w:szCs w:val="20"/>
        </w:rPr>
        <w:t xml:space="preserve"> залогодатель, </w:t>
      </w:r>
      <w:r w:rsidR="00011C5C" w:rsidRPr="001528C9">
        <w:rPr>
          <w:rFonts w:ascii="Times New Roman" w:hAnsi="Times New Roman" w:cs="Times New Roman"/>
          <w:sz w:val="20"/>
          <w:szCs w:val="20"/>
        </w:rPr>
        <w:t>которым может быть как сам должник по обязательству, так и  лицо, не участвующее в этом обязательстве (то есть третье лицо)</w:t>
      </w:r>
      <w:r w:rsidR="00357088" w:rsidRPr="001528C9">
        <w:rPr>
          <w:rFonts w:ascii="Times New Roman" w:hAnsi="Times New Roman" w:cs="Times New Roman"/>
          <w:sz w:val="20"/>
          <w:szCs w:val="20"/>
        </w:rPr>
        <w:t xml:space="preserve"> [</w:t>
      </w:r>
      <w:r w:rsidR="00065203" w:rsidRPr="001528C9">
        <w:rPr>
          <w:rFonts w:ascii="Times New Roman" w:hAnsi="Times New Roman" w:cs="Times New Roman"/>
          <w:sz w:val="20"/>
          <w:szCs w:val="20"/>
        </w:rPr>
        <w:t>1</w:t>
      </w:r>
      <w:r w:rsidR="00357088" w:rsidRPr="001528C9">
        <w:rPr>
          <w:rFonts w:ascii="Times New Roman" w:hAnsi="Times New Roman" w:cs="Times New Roman"/>
          <w:sz w:val="20"/>
          <w:szCs w:val="20"/>
        </w:rPr>
        <w:t>]</w:t>
      </w:r>
      <w:r w:rsidR="00011C5C" w:rsidRPr="001528C9">
        <w:rPr>
          <w:rFonts w:ascii="Times New Roman" w:hAnsi="Times New Roman" w:cs="Times New Roman"/>
          <w:sz w:val="20"/>
          <w:szCs w:val="20"/>
        </w:rPr>
        <w:t>.</w:t>
      </w:r>
    </w:p>
    <w:p w:rsidR="00194D39" w:rsidRPr="00194D39" w:rsidRDefault="00194D39" w:rsidP="00194D39">
      <w:pPr>
        <w:spacing w:after="0" w:line="240" w:lineRule="auto"/>
        <w:ind w:firstLine="284"/>
        <w:jc w:val="center"/>
        <w:rPr>
          <w:rFonts w:ascii="Times New Roman" w:hAnsi="Times New Roman" w:cs="Times New Roman"/>
          <w:smallCaps/>
          <w:color w:val="000000"/>
          <w:sz w:val="20"/>
          <w:szCs w:val="20"/>
          <w:lang w:val="en-US"/>
        </w:rPr>
      </w:pPr>
      <w:r w:rsidRPr="00194D39">
        <w:rPr>
          <w:rFonts w:ascii="Times New Roman" w:hAnsi="Times New Roman" w:cs="Times New Roman"/>
          <w:smallCaps/>
          <w:color w:val="000000"/>
          <w:sz w:val="20"/>
          <w:szCs w:val="20"/>
          <w:lang w:val="en-US"/>
        </w:rPr>
        <w:t>III. Теория</w:t>
      </w:r>
    </w:p>
    <w:p w:rsidR="00194D39" w:rsidRPr="00194D39" w:rsidRDefault="00194D39" w:rsidP="00194D39">
      <w:pPr>
        <w:spacing w:after="0" w:line="240" w:lineRule="auto"/>
        <w:ind w:firstLine="284"/>
        <w:jc w:val="center"/>
        <w:rPr>
          <w:rFonts w:ascii="Times New Roman" w:hAnsi="Times New Roman" w:cs="Times New Roman"/>
          <w:smallCaps/>
          <w:color w:val="000000"/>
          <w:sz w:val="20"/>
          <w:szCs w:val="20"/>
          <w:lang w:val="en-US"/>
        </w:rPr>
      </w:pPr>
    </w:p>
    <w:p w:rsidR="00202446" w:rsidRPr="001528C9" w:rsidRDefault="00004208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528C9">
        <w:rPr>
          <w:rFonts w:ascii="Times New Roman" w:hAnsi="Times New Roman" w:cs="Times New Roman"/>
          <w:sz w:val="20"/>
          <w:szCs w:val="20"/>
        </w:rPr>
        <w:t>Асаул</w:t>
      </w:r>
      <w:proofErr w:type="spellEnd"/>
      <w:r w:rsidRPr="001528C9">
        <w:rPr>
          <w:rFonts w:ascii="Times New Roman" w:hAnsi="Times New Roman" w:cs="Times New Roman"/>
          <w:sz w:val="20"/>
          <w:szCs w:val="20"/>
        </w:rPr>
        <w:t xml:space="preserve"> А.</w:t>
      </w:r>
      <w:r w:rsidR="00202446" w:rsidRPr="001528C9">
        <w:rPr>
          <w:rFonts w:ascii="Times New Roman" w:hAnsi="Times New Roman" w:cs="Times New Roman"/>
          <w:sz w:val="20"/>
          <w:szCs w:val="20"/>
        </w:rPr>
        <w:t xml:space="preserve"> Н</w:t>
      </w:r>
      <w:r w:rsidRPr="001528C9">
        <w:rPr>
          <w:rFonts w:ascii="Times New Roman" w:hAnsi="Times New Roman" w:cs="Times New Roman"/>
          <w:sz w:val="20"/>
          <w:szCs w:val="20"/>
        </w:rPr>
        <w:t>.</w:t>
      </w:r>
      <w:r w:rsidR="00202446" w:rsidRPr="001528C9">
        <w:rPr>
          <w:rFonts w:ascii="Times New Roman" w:hAnsi="Times New Roman" w:cs="Times New Roman"/>
          <w:sz w:val="20"/>
          <w:szCs w:val="20"/>
        </w:rPr>
        <w:t>, в своих трудах даёт следующее определение ипотеке: ипотека представляет собой залог объектов недвижимости  с целью получения денежной ссуды — ипотечного кредита (то есть кредита под закладную)</w:t>
      </w:r>
      <w:r w:rsidR="00357088" w:rsidRPr="001528C9">
        <w:rPr>
          <w:rFonts w:ascii="Times New Roman" w:hAnsi="Times New Roman" w:cs="Times New Roman"/>
          <w:sz w:val="20"/>
          <w:szCs w:val="20"/>
        </w:rPr>
        <w:t xml:space="preserve"> [</w:t>
      </w:r>
      <w:r w:rsidR="00065203" w:rsidRPr="001528C9">
        <w:rPr>
          <w:rFonts w:ascii="Times New Roman" w:hAnsi="Times New Roman" w:cs="Times New Roman"/>
          <w:sz w:val="20"/>
          <w:szCs w:val="20"/>
        </w:rPr>
        <w:t>2</w:t>
      </w:r>
      <w:r w:rsidR="00357088" w:rsidRPr="001528C9">
        <w:rPr>
          <w:rFonts w:ascii="Times New Roman" w:hAnsi="Times New Roman" w:cs="Times New Roman"/>
          <w:sz w:val="20"/>
          <w:szCs w:val="20"/>
        </w:rPr>
        <w:t>]</w:t>
      </w:r>
      <w:r w:rsidR="00202446" w:rsidRPr="001528C9">
        <w:rPr>
          <w:rFonts w:ascii="Times New Roman" w:hAnsi="Times New Roman" w:cs="Times New Roman"/>
          <w:sz w:val="20"/>
          <w:szCs w:val="20"/>
        </w:rPr>
        <w:t>.</w:t>
      </w:r>
    </w:p>
    <w:p w:rsidR="00202446" w:rsidRPr="001528C9" w:rsidRDefault="00027BFE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528C9">
        <w:rPr>
          <w:rFonts w:ascii="Times New Roman" w:hAnsi="Times New Roman" w:cs="Times New Roman"/>
          <w:sz w:val="20"/>
          <w:szCs w:val="20"/>
        </w:rPr>
        <w:t>Назарчук</w:t>
      </w:r>
      <w:proofErr w:type="spellEnd"/>
      <w:r w:rsidRPr="001528C9">
        <w:rPr>
          <w:rFonts w:ascii="Times New Roman" w:hAnsi="Times New Roman" w:cs="Times New Roman"/>
          <w:sz w:val="20"/>
          <w:szCs w:val="20"/>
        </w:rPr>
        <w:t xml:space="preserve">, Н. П. </w:t>
      </w:r>
      <w:r w:rsidR="00D0147B" w:rsidRPr="001528C9">
        <w:rPr>
          <w:rFonts w:ascii="Times New Roman" w:hAnsi="Times New Roman" w:cs="Times New Roman"/>
          <w:sz w:val="20"/>
          <w:szCs w:val="20"/>
        </w:rPr>
        <w:t xml:space="preserve">рассматривает данное понятие в нескольких значениях. «Ипотека» (как правоотношение) есть залог недвижимого имущества с целью получения ипотечного кредита. </w:t>
      </w:r>
      <w:r w:rsidR="004E3998" w:rsidRPr="001528C9">
        <w:rPr>
          <w:rFonts w:ascii="Times New Roman" w:hAnsi="Times New Roman" w:cs="Times New Roman"/>
          <w:sz w:val="20"/>
          <w:szCs w:val="20"/>
        </w:rPr>
        <w:t xml:space="preserve">Под ипотекой как ценной бумагой автор подразумевает «закладную», то есть </w:t>
      </w:r>
      <w:r w:rsidR="00D0147B" w:rsidRPr="001528C9">
        <w:rPr>
          <w:rFonts w:ascii="Times New Roman" w:hAnsi="Times New Roman" w:cs="Times New Roman"/>
          <w:sz w:val="20"/>
          <w:szCs w:val="20"/>
        </w:rPr>
        <w:t>долговой инструмент, удостоверяющ</w:t>
      </w:r>
      <w:r w:rsidR="00CC3141" w:rsidRPr="001528C9">
        <w:rPr>
          <w:rFonts w:ascii="Times New Roman" w:hAnsi="Times New Roman" w:cs="Times New Roman"/>
          <w:sz w:val="20"/>
          <w:szCs w:val="20"/>
        </w:rPr>
        <w:t>ий права залогодержателя на не</w:t>
      </w:r>
      <w:r w:rsidR="00357088" w:rsidRPr="001528C9">
        <w:rPr>
          <w:rFonts w:ascii="Times New Roman" w:hAnsi="Times New Roman" w:cs="Times New Roman"/>
          <w:sz w:val="20"/>
          <w:szCs w:val="20"/>
        </w:rPr>
        <w:t>движимое имущество[</w:t>
      </w:r>
      <w:r w:rsidR="00060328">
        <w:rPr>
          <w:rFonts w:ascii="Times New Roman" w:hAnsi="Times New Roman" w:cs="Times New Roman"/>
          <w:sz w:val="20"/>
          <w:szCs w:val="20"/>
        </w:rPr>
        <w:t>3</w:t>
      </w:r>
      <w:r w:rsidR="00357088" w:rsidRPr="001528C9">
        <w:rPr>
          <w:rFonts w:ascii="Times New Roman" w:hAnsi="Times New Roman" w:cs="Times New Roman"/>
          <w:sz w:val="20"/>
          <w:szCs w:val="20"/>
        </w:rPr>
        <w:t>].</w:t>
      </w:r>
      <w:r w:rsidR="00D0147B" w:rsidRPr="001528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15C3" w:rsidRPr="00194D39" w:rsidRDefault="00F115C3" w:rsidP="00194D39">
      <w:pPr>
        <w:spacing w:after="0" w:line="240" w:lineRule="auto"/>
        <w:ind w:firstLine="284"/>
        <w:jc w:val="center"/>
        <w:rPr>
          <w:rFonts w:ascii="Times New Roman" w:hAnsi="Times New Roman" w:cs="Times New Roman"/>
          <w:smallCaps/>
          <w:color w:val="000000"/>
          <w:sz w:val="20"/>
          <w:szCs w:val="20"/>
          <w:lang w:val="en-US"/>
        </w:rPr>
      </w:pPr>
    </w:p>
    <w:p w:rsidR="00194D39" w:rsidRPr="00194D39" w:rsidRDefault="00194D39" w:rsidP="00194D39">
      <w:pPr>
        <w:spacing w:after="0" w:line="240" w:lineRule="auto"/>
        <w:ind w:firstLine="284"/>
        <w:jc w:val="center"/>
        <w:rPr>
          <w:rFonts w:ascii="Times New Roman" w:hAnsi="Times New Roman" w:cs="Times New Roman"/>
          <w:smallCaps/>
          <w:color w:val="000000"/>
          <w:sz w:val="20"/>
          <w:szCs w:val="20"/>
          <w:lang w:val="en-US"/>
        </w:rPr>
      </w:pPr>
      <w:r w:rsidRPr="00194D39">
        <w:rPr>
          <w:rFonts w:ascii="Times New Roman" w:hAnsi="Times New Roman" w:cs="Times New Roman"/>
          <w:smallCaps/>
          <w:color w:val="000000"/>
          <w:sz w:val="20"/>
          <w:szCs w:val="20"/>
          <w:lang w:val="en-US"/>
        </w:rPr>
        <w:t>IV. Результаты экспериментов</w:t>
      </w:r>
    </w:p>
    <w:p w:rsidR="00194D39" w:rsidRPr="00194D39" w:rsidRDefault="00194D39" w:rsidP="00194D39">
      <w:pPr>
        <w:spacing w:after="0" w:line="240" w:lineRule="auto"/>
        <w:ind w:firstLine="284"/>
        <w:jc w:val="center"/>
        <w:rPr>
          <w:rFonts w:ascii="Times New Roman" w:hAnsi="Times New Roman" w:cs="Times New Roman"/>
          <w:smallCaps/>
          <w:color w:val="000000"/>
          <w:sz w:val="20"/>
          <w:szCs w:val="20"/>
          <w:lang w:val="en-US"/>
        </w:rPr>
      </w:pPr>
    </w:p>
    <w:p w:rsidR="00194D39" w:rsidRPr="001528C9" w:rsidRDefault="00194D39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>Ипотечное кредитование оказывает значительное влияние на функционирование, повышение  стабильности  и  эффективности  банковской системы. Данные о доле ипотечного кредитования в общем кредитовании физических лиц рассмотрены в рис. 1 [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1528C9">
        <w:rPr>
          <w:rFonts w:ascii="Times New Roman" w:hAnsi="Times New Roman" w:cs="Times New Roman"/>
          <w:sz w:val="20"/>
          <w:szCs w:val="20"/>
        </w:rPr>
        <w:t xml:space="preserve">]. </w:t>
      </w:r>
    </w:p>
    <w:p w:rsidR="00194D39" w:rsidRPr="001528C9" w:rsidRDefault="00194D39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F115C3" w:rsidRPr="001528C9" w:rsidRDefault="00F115C3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3D61BD7" wp14:editId="17F6CDFE">
            <wp:extent cx="5940425" cy="3044092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115C3" w:rsidRPr="001528C9" w:rsidRDefault="00F115C3" w:rsidP="00194D3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 xml:space="preserve">Рисунок 1 </w:t>
      </w:r>
      <w:r w:rsidRPr="001528C9">
        <w:rPr>
          <w:rFonts w:ascii="Times New Roman" w:hAnsi="Times New Roman" w:cs="Times New Roman"/>
          <w:sz w:val="20"/>
          <w:szCs w:val="20"/>
        </w:rPr>
        <w:sym w:font="Symbol" w:char="F02D"/>
      </w:r>
      <w:r w:rsidRPr="001528C9">
        <w:rPr>
          <w:rFonts w:ascii="Times New Roman" w:hAnsi="Times New Roman" w:cs="Times New Roman"/>
          <w:sz w:val="20"/>
          <w:szCs w:val="20"/>
        </w:rPr>
        <w:t xml:space="preserve"> Доля ипотечных кредитов в общем объёме кредитов</w:t>
      </w:r>
      <w:r w:rsidR="00825EBF" w:rsidRPr="001528C9">
        <w:rPr>
          <w:rFonts w:ascii="Times New Roman" w:hAnsi="Times New Roman" w:cs="Times New Roman"/>
          <w:sz w:val="20"/>
          <w:szCs w:val="20"/>
        </w:rPr>
        <w:t>ании физических лиц</w:t>
      </w:r>
      <w:r w:rsidRPr="001528C9">
        <w:rPr>
          <w:rFonts w:ascii="Times New Roman" w:hAnsi="Times New Roman" w:cs="Times New Roman"/>
          <w:sz w:val="20"/>
          <w:szCs w:val="20"/>
        </w:rPr>
        <w:t>, %</w:t>
      </w:r>
    </w:p>
    <w:p w:rsidR="00F115C3" w:rsidRPr="001528C9" w:rsidRDefault="00F115C3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25EBF" w:rsidRPr="001528C9" w:rsidRDefault="00825EBF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 xml:space="preserve">Из данного графика можно сделать вывод о том, что ипотечное кредитование занимает важное место в структуре кредитования физических лиц. На </w:t>
      </w:r>
      <w:r w:rsidR="001800F8" w:rsidRPr="001528C9">
        <w:rPr>
          <w:rFonts w:ascii="Times New Roman" w:hAnsi="Times New Roman" w:cs="Times New Roman"/>
          <w:sz w:val="20"/>
          <w:szCs w:val="20"/>
        </w:rPr>
        <w:t xml:space="preserve">начало 2017 </w:t>
      </w:r>
      <w:r w:rsidRPr="001528C9">
        <w:rPr>
          <w:rFonts w:ascii="Times New Roman" w:hAnsi="Times New Roman" w:cs="Times New Roman"/>
          <w:sz w:val="20"/>
          <w:szCs w:val="20"/>
        </w:rPr>
        <w:t>доля ипотечных кредитов в общем объёме предоставленных кредитов физических лиц</w:t>
      </w:r>
      <w:r w:rsidR="001800F8" w:rsidRPr="001528C9">
        <w:rPr>
          <w:rFonts w:ascii="Times New Roman" w:hAnsi="Times New Roman" w:cs="Times New Roman"/>
          <w:sz w:val="20"/>
          <w:szCs w:val="20"/>
        </w:rPr>
        <w:t xml:space="preserve"> составила 20,86 %, это на 4,4 % больше, чем на начало 2008 года. </w:t>
      </w:r>
    </w:p>
    <w:p w:rsidR="00F02B43" w:rsidRPr="001528C9" w:rsidRDefault="001800F8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 xml:space="preserve">Ипотечное кредитование описывают такие показатели, как количество предоставленных кредитов, объём предоставленных кредитов, задолженность по предоставленным кредитам, средневзвешенный срок кредитования, средневзвешенная ставка. </w:t>
      </w:r>
      <w:proofErr w:type="gramStart"/>
      <w:r w:rsidR="00F02B43" w:rsidRPr="001528C9">
        <w:rPr>
          <w:rFonts w:ascii="Times New Roman" w:hAnsi="Times New Roman" w:cs="Times New Roman"/>
          <w:sz w:val="20"/>
          <w:szCs w:val="20"/>
        </w:rPr>
        <w:t>Рассмотрим изменение объёмов ипотечного кредитования за последние 5 лет</w:t>
      </w:r>
      <w:r w:rsidR="008078CD" w:rsidRPr="001528C9">
        <w:rPr>
          <w:rFonts w:ascii="Times New Roman" w:hAnsi="Times New Roman" w:cs="Times New Roman"/>
          <w:sz w:val="20"/>
          <w:szCs w:val="20"/>
        </w:rPr>
        <w:t xml:space="preserve"> в табл. 1</w:t>
      </w:r>
      <w:r w:rsidR="005079FF" w:rsidRPr="001528C9">
        <w:rPr>
          <w:rFonts w:ascii="Times New Roman" w:hAnsi="Times New Roman" w:cs="Times New Roman"/>
          <w:sz w:val="20"/>
          <w:szCs w:val="20"/>
        </w:rPr>
        <w:t>.</w:t>
      </w:r>
      <w:r w:rsidR="008078CD" w:rsidRPr="001528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B10BD3" w:rsidRPr="001528C9" w:rsidRDefault="00B10BD3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F02B43" w:rsidRDefault="0090311F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 xml:space="preserve">Таблица 1 </w:t>
      </w:r>
      <w:r w:rsidRPr="001528C9">
        <w:rPr>
          <w:rFonts w:ascii="Times New Roman" w:hAnsi="Times New Roman" w:cs="Times New Roman"/>
          <w:sz w:val="20"/>
          <w:szCs w:val="20"/>
        </w:rPr>
        <w:sym w:font="Symbol" w:char="F02D"/>
      </w:r>
      <w:r w:rsidR="00F02B43" w:rsidRPr="001528C9">
        <w:rPr>
          <w:rFonts w:ascii="Times New Roman" w:hAnsi="Times New Roman" w:cs="Times New Roman"/>
          <w:sz w:val="20"/>
          <w:szCs w:val="20"/>
        </w:rPr>
        <w:t xml:space="preserve"> Жилищные кредиты, предоставленные физическим лицам-резидентам </w:t>
      </w:r>
      <w:r w:rsidR="00060328">
        <w:rPr>
          <w:rFonts w:ascii="Times New Roman" w:hAnsi="Times New Roman" w:cs="Times New Roman"/>
          <w:sz w:val="20"/>
          <w:szCs w:val="20"/>
        </w:rPr>
        <w:t xml:space="preserve">в РФ за 2013-2017 </w:t>
      </w:r>
      <w:proofErr w:type="spellStart"/>
      <w:proofErr w:type="gramStart"/>
      <w:r w:rsidR="00060328">
        <w:rPr>
          <w:rFonts w:ascii="Times New Roman" w:hAnsi="Times New Roman" w:cs="Times New Roman"/>
          <w:sz w:val="20"/>
          <w:szCs w:val="20"/>
        </w:rPr>
        <w:t>гг</w:t>
      </w:r>
      <w:proofErr w:type="spellEnd"/>
      <w:proofErr w:type="gramEnd"/>
    </w:p>
    <w:p w:rsidR="00060328" w:rsidRPr="001528C9" w:rsidRDefault="00060328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276"/>
        <w:gridCol w:w="2126"/>
        <w:gridCol w:w="1560"/>
        <w:gridCol w:w="1559"/>
      </w:tblGrid>
      <w:tr w:rsidR="002E1B84" w:rsidRPr="001528C9" w:rsidTr="002E1B84">
        <w:tc>
          <w:tcPr>
            <w:tcW w:w="1276" w:type="dxa"/>
          </w:tcPr>
          <w:p w:rsidR="002E1B84" w:rsidRPr="001528C9" w:rsidRDefault="002E1B84" w:rsidP="00194D39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2E1B84" w:rsidRPr="001528C9" w:rsidRDefault="002E1B84" w:rsidP="00194D39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Количество предоставленных кредитов, ед.</w:t>
            </w:r>
          </w:p>
        </w:tc>
        <w:tc>
          <w:tcPr>
            <w:tcW w:w="1276" w:type="dxa"/>
          </w:tcPr>
          <w:p w:rsidR="002E1B84" w:rsidRPr="001528C9" w:rsidRDefault="002E1B84" w:rsidP="00194D39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Объем предоставленных кредитов, млн</w:t>
            </w:r>
            <w:proofErr w:type="gramStart"/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126" w:type="dxa"/>
          </w:tcPr>
          <w:p w:rsidR="002E1B84" w:rsidRPr="001528C9" w:rsidRDefault="002E1B84" w:rsidP="00194D39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Задолженность по предоставленным кредитам, млн</w:t>
            </w:r>
            <w:proofErr w:type="gramStart"/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560" w:type="dxa"/>
          </w:tcPr>
          <w:p w:rsidR="002E1B84" w:rsidRPr="001528C9" w:rsidRDefault="002E1B84" w:rsidP="00194D39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Средневзвешенный срок кредитования, мес.</w:t>
            </w:r>
          </w:p>
        </w:tc>
        <w:tc>
          <w:tcPr>
            <w:tcW w:w="1559" w:type="dxa"/>
          </w:tcPr>
          <w:p w:rsidR="002E1B84" w:rsidRPr="001528C9" w:rsidRDefault="002E1B84" w:rsidP="00194D39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Средневзвешенная ставка, %</w:t>
            </w:r>
          </w:p>
        </w:tc>
      </w:tr>
      <w:tr w:rsidR="002E1B84" w:rsidRPr="001528C9" w:rsidTr="002E1B84">
        <w:tc>
          <w:tcPr>
            <w:tcW w:w="1276" w:type="dxa"/>
          </w:tcPr>
          <w:p w:rsidR="002E1B84" w:rsidRPr="001528C9" w:rsidRDefault="002E1B84" w:rsidP="00194D39">
            <w:pPr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01.01.2013</w:t>
            </w:r>
          </w:p>
        </w:tc>
        <w:tc>
          <w:tcPr>
            <w:tcW w:w="1559" w:type="dxa"/>
          </w:tcPr>
          <w:p w:rsidR="002E1B84" w:rsidRPr="001528C9" w:rsidRDefault="002E1B84" w:rsidP="00194D39">
            <w:pPr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739 393</w:t>
            </w:r>
          </w:p>
        </w:tc>
        <w:tc>
          <w:tcPr>
            <w:tcW w:w="1276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955"/>
            </w:tblGrid>
            <w:tr w:rsidR="002E1B84" w:rsidRPr="001528C9" w:rsidTr="008C2490">
              <w:trPr>
                <w:tblCellSpacing w:w="15" w:type="dxa"/>
              </w:trPr>
              <w:tc>
                <w:tcPr>
                  <w:tcW w:w="36" w:type="dxa"/>
                  <w:noWrap/>
                  <w:vAlign w:val="center"/>
                  <w:hideMark/>
                </w:tcPr>
                <w:p w:rsidR="002E1B84" w:rsidRPr="001528C9" w:rsidRDefault="002E1B84" w:rsidP="00194D39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0" w:type="dxa"/>
                  <w:noWrap/>
                  <w:vAlign w:val="center"/>
                  <w:hideMark/>
                </w:tcPr>
                <w:p w:rsidR="002E1B84" w:rsidRPr="001528C9" w:rsidRDefault="002E1B84" w:rsidP="00194D39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8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1 054 073</w:t>
                  </w:r>
                </w:p>
              </w:tc>
            </w:tr>
          </w:tbl>
          <w:p w:rsidR="002E1B84" w:rsidRPr="001528C9" w:rsidRDefault="002E1B84" w:rsidP="00194D39">
            <w:pPr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1B84" w:rsidRPr="001528C9" w:rsidRDefault="002E1B84" w:rsidP="00194D39">
            <w:pPr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1 992 388</w:t>
            </w:r>
          </w:p>
        </w:tc>
        <w:tc>
          <w:tcPr>
            <w:tcW w:w="156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"/>
              <w:gridCol w:w="1180"/>
            </w:tblGrid>
            <w:tr w:rsidR="002E1B84" w:rsidRPr="001528C9" w:rsidTr="002E1B84">
              <w:trPr>
                <w:trHeight w:val="359"/>
                <w:tblCellSpacing w:w="15" w:type="dxa"/>
              </w:trPr>
              <w:tc>
                <w:tcPr>
                  <w:tcW w:w="85" w:type="dxa"/>
                  <w:noWrap/>
                  <w:vAlign w:val="center"/>
                  <w:hideMark/>
                </w:tcPr>
                <w:p w:rsidR="002E1B84" w:rsidRPr="001528C9" w:rsidRDefault="002E1B84" w:rsidP="00194D39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5" w:type="dxa"/>
                  <w:noWrap/>
                  <w:vAlign w:val="center"/>
                  <w:hideMark/>
                </w:tcPr>
                <w:p w:rsidR="002E1B84" w:rsidRPr="001528C9" w:rsidRDefault="002E1B84" w:rsidP="00194D39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8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176,6</w:t>
                  </w:r>
                </w:p>
              </w:tc>
            </w:tr>
          </w:tbl>
          <w:p w:rsidR="002E1B84" w:rsidRPr="001528C9" w:rsidRDefault="002E1B84" w:rsidP="00194D39">
            <w:pPr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tbl>
            <w:tblPr>
              <w:tblW w:w="130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"/>
              <w:gridCol w:w="1188"/>
            </w:tblGrid>
            <w:tr w:rsidR="002E1B84" w:rsidRPr="001528C9" w:rsidTr="002E1B84">
              <w:trPr>
                <w:trHeight w:val="312"/>
                <w:tblCellSpacing w:w="15" w:type="dxa"/>
              </w:trPr>
              <w:tc>
                <w:tcPr>
                  <w:tcW w:w="76" w:type="dxa"/>
                  <w:noWrap/>
                  <w:vAlign w:val="center"/>
                  <w:hideMark/>
                </w:tcPr>
                <w:p w:rsidR="002E1B84" w:rsidRPr="001528C9" w:rsidRDefault="002E1B84" w:rsidP="00194D39">
                  <w:pPr>
                    <w:tabs>
                      <w:tab w:val="left" w:pos="1060"/>
                    </w:tabs>
                    <w:spacing w:after="0" w:line="240" w:lineRule="auto"/>
                    <w:ind w:firstLine="28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3" w:type="dxa"/>
                  <w:noWrap/>
                  <w:vAlign w:val="center"/>
                  <w:hideMark/>
                </w:tcPr>
                <w:p w:rsidR="002E1B84" w:rsidRPr="001528C9" w:rsidRDefault="002E1B84" w:rsidP="00194D39">
                  <w:pPr>
                    <w:tabs>
                      <w:tab w:val="left" w:pos="1060"/>
                    </w:tabs>
                    <w:spacing w:after="0" w:line="240" w:lineRule="auto"/>
                    <w:ind w:right="-45" w:firstLine="28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8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12,32</w:t>
                  </w:r>
                </w:p>
              </w:tc>
            </w:tr>
          </w:tbl>
          <w:p w:rsidR="002E1B84" w:rsidRPr="001528C9" w:rsidRDefault="002E1B84" w:rsidP="00194D39">
            <w:pPr>
              <w:tabs>
                <w:tab w:val="left" w:pos="1060"/>
              </w:tabs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B84" w:rsidRPr="001528C9" w:rsidTr="002E1B84">
        <w:tc>
          <w:tcPr>
            <w:tcW w:w="1276" w:type="dxa"/>
          </w:tcPr>
          <w:p w:rsidR="002E1B84" w:rsidRPr="001528C9" w:rsidRDefault="002E1B84" w:rsidP="00194D39">
            <w:pPr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559" w:type="dxa"/>
          </w:tcPr>
          <w:p w:rsidR="002E1B84" w:rsidRPr="001528C9" w:rsidRDefault="002E1B84" w:rsidP="00194D39">
            <w:pPr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878 495</w:t>
            </w:r>
          </w:p>
        </w:tc>
        <w:tc>
          <w:tcPr>
            <w:tcW w:w="1276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955"/>
            </w:tblGrid>
            <w:tr w:rsidR="002E1B84" w:rsidRPr="001528C9" w:rsidTr="008C2490">
              <w:trPr>
                <w:tblCellSpacing w:w="15" w:type="dxa"/>
              </w:trPr>
              <w:tc>
                <w:tcPr>
                  <w:tcW w:w="36" w:type="dxa"/>
                  <w:noWrap/>
                  <w:vAlign w:val="center"/>
                  <w:hideMark/>
                </w:tcPr>
                <w:p w:rsidR="002E1B84" w:rsidRPr="001528C9" w:rsidRDefault="002E1B84" w:rsidP="00194D39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0" w:type="dxa"/>
                  <w:noWrap/>
                  <w:vAlign w:val="center"/>
                  <w:hideMark/>
                </w:tcPr>
                <w:p w:rsidR="002E1B84" w:rsidRPr="001528C9" w:rsidRDefault="002E1B84" w:rsidP="00194D39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8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1 385 357</w:t>
                  </w:r>
                </w:p>
              </w:tc>
            </w:tr>
          </w:tbl>
          <w:p w:rsidR="002E1B84" w:rsidRPr="001528C9" w:rsidRDefault="002E1B84" w:rsidP="00194D39">
            <w:pPr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tbl>
            <w:tblPr>
              <w:tblW w:w="1246" w:type="dxa"/>
              <w:tblCellSpacing w:w="15" w:type="dxa"/>
              <w:tblInd w:w="68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"/>
              <w:gridCol w:w="1134"/>
            </w:tblGrid>
            <w:tr w:rsidR="002E1B84" w:rsidRPr="001528C9" w:rsidTr="00DE389C">
              <w:trPr>
                <w:trHeight w:val="289"/>
                <w:tblCellSpacing w:w="15" w:type="dxa"/>
              </w:trPr>
              <w:tc>
                <w:tcPr>
                  <w:tcW w:w="67" w:type="dxa"/>
                  <w:noWrap/>
                  <w:vAlign w:val="center"/>
                  <w:hideMark/>
                </w:tcPr>
                <w:p w:rsidR="002E1B84" w:rsidRPr="001528C9" w:rsidRDefault="002E1B84" w:rsidP="00194D39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9" w:type="dxa"/>
                  <w:noWrap/>
                  <w:vAlign w:val="center"/>
                  <w:hideMark/>
                </w:tcPr>
                <w:p w:rsidR="002E1B84" w:rsidRPr="001528C9" w:rsidRDefault="002E1B84" w:rsidP="00194D39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8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2 647 421</w:t>
                  </w:r>
                </w:p>
              </w:tc>
            </w:tr>
          </w:tbl>
          <w:p w:rsidR="002E1B84" w:rsidRPr="001528C9" w:rsidRDefault="002E1B84" w:rsidP="00194D39">
            <w:pPr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E1B84" w:rsidRPr="001528C9" w:rsidRDefault="002E1B84" w:rsidP="00194D39">
            <w:pPr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172,9</w:t>
            </w:r>
          </w:p>
        </w:tc>
        <w:tc>
          <w:tcPr>
            <w:tcW w:w="1559" w:type="dxa"/>
          </w:tcPr>
          <w:p w:rsidR="002E1B84" w:rsidRPr="001528C9" w:rsidRDefault="002E1B84" w:rsidP="00194D39">
            <w:pPr>
              <w:tabs>
                <w:tab w:val="left" w:pos="1060"/>
              </w:tabs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12,51</w:t>
            </w:r>
          </w:p>
        </w:tc>
      </w:tr>
      <w:tr w:rsidR="002E1B84" w:rsidRPr="001528C9" w:rsidTr="002E1B84">
        <w:tc>
          <w:tcPr>
            <w:tcW w:w="1276" w:type="dxa"/>
          </w:tcPr>
          <w:p w:rsidR="002E1B84" w:rsidRPr="001528C9" w:rsidRDefault="002E1B84" w:rsidP="00194D39">
            <w:pPr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559" w:type="dxa"/>
          </w:tcPr>
          <w:tbl>
            <w:tblPr>
              <w:tblW w:w="136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"/>
              <w:gridCol w:w="1245"/>
            </w:tblGrid>
            <w:tr w:rsidR="002E1B84" w:rsidRPr="001528C9" w:rsidTr="0064292D">
              <w:trPr>
                <w:trHeight w:val="266"/>
                <w:tblCellSpacing w:w="15" w:type="dxa"/>
              </w:trPr>
              <w:tc>
                <w:tcPr>
                  <w:tcW w:w="78" w:type="dxa"/>
                  <w:vAlign w:val="center"/>
                  <w:hideMark/>
                </w:tcPr>
                <w:p w:rsidR="002E1B84" w:rsidRPr="001528C9" w:rsidRDefault="002E1B84" w:rsidP="00194D39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0" w:type="dxa"/>
                  <w:noWrap/>
                  <w:vAlign w:val="center"/>
                  <w:hideMark/>
                </w:tcPr>
                <w:p w:rsidR="002E1B84" w:rsidRPr="001528C9" w:rsidRDefault="002E1B84" w:rsidP="00194D39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8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1 058 641</w:t>
                  </w:r>
                </w:p>
              </w:tc>
            </w:tr>
          </w:tbl>
          <w:p w:rsidR="002E1B84" w:rsidRPr="001528C9" w:rsidRDefault="002E1B84" w:rsidP="00194D39">
            <w:pPr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955"/>
            </w:tblGrid>
            <w:tr w:rsidR="002E1B84" w:rsidRPr="001528C9" w:rsidTr="008C2490">
              <w:trPr>
                <w:tblCellSpacing w:w="15" w:type="dxa"/>
              </w:trPr>
              <w:tc>
                <w:tcPr>
                  <w:tcW w:w="36" w:type="dxa"/>
                  <w:noWrap/>
                  <w:vAlign w:val="center"/>
                  <w:hideMark/>
                </w:tcPr>
                <w:p w:rsidR="002E1B84" w:rsidRPr="001528C9" w:rsidRDefault="002E1B84" w:rsidP="00194D39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0" w:type="dxa"/>
                  <w:noWrap/>
                  <w:vAlign w:val="center"/>
                  <w:hideMark/>
                </w:tcPr>
                <w:p w:rsidR="002E1B84" w:rsidRPr="001528C9" w:rsidRDefault="002E1B84" w:rsidP="00194D39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8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1 808 551</w:t>
                  </w:r>
                </w:p>
              </w:tc>
            </w:tr>
          </w:tbl>
          <w:p w:rsidR="002E1B84" w:rsidRPr="001528C9" w:rsidRDefault="002E1B84" w:rsidP="00194D39">
            <w:pPr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tbl>
            <w:tblPr>
              <w:tblW w:w="1231" w:type="dxa"/>
              <w:tblCellSpacing w:w="15" w:type="dxa"/>
              <w:tblInd w:w="69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"/>
              <w:gridCol w:w="1120"/>
            </w:tblGrid>
            <w:tr w:rsidR="002E1B84" w:rsidRPr="001528C9" w:rsidTr="00DE389C">
              <w:trPr>
                <w:trHeight w:val="301"/>
                <w:tblCellSpacing w:w="15" w:type="dxa"/>
              </w:trPr>
              <w:tc>
                <w:tcPr>
                  <w:tcW w:w="66" w:type="dxa"/>
                  <w:noWrap/>
                  <w:vAlign w:val="center"/>
                  <w:hideMark/>
                </w:tcPr>
                <w:p w:rsidR="002E1B84" w:rsidRPr="001528C9" w:rsidRDefault="002E1B84" w:rsidP="00194D39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75" w:type="dxa"/>
                  <w:noWrap/>
                  <w:vAlign w:val="center"/>
                  <w:hideMark/>
                </w:tcPr>
                <w:p w:rsidR="002E1B84" w:rsidRPr="001528C9" w:rsidRDefault="002E1B84" w:rsidP="00194D39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8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3 517 094</w:t>
                  </w:r>
                </w:p>
              </w:tc>
            </w:tr>
          </w:tbl>
          <w:p w:rsidR="002E1B84" w:rsidRPr="001528C9" w:rsidRDefault="002E1B84" w:rsidP="00194D39">
            <w:pPr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E1B84" w:rsidRPr="001528C9" w:rsidRDefault="002E1B84" w:rsidP="00194D39">
            <w:pPr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178,1</w:t>
            </w:r>
          </w:p>
        </w:tc>
        <w:tc>
          <w:tcPr>
            <w:tcW w:w="1559" w:type="dxa"/>
          </w:tcPr>
          <w:p w:rsidR="002E1B84" w:rsidRPr="001528C9" w:rsidRDefault="002E1B84" w:rsidP="00194D39">
            <w:pPr>
              <w:tabs>
                <w:tab w:val="left" w:pos="1060"/>
              </w:tabs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12,47</w:t>
            </w:r>
          </w:p>
        </w:tc>
      </w:tr>
      <w:tr w:rsidR="002E1B84" w:rsidRPr="001528C9" w:rsidTr="002E1B84">
        <w:tc>
          <w:tcPr>
            <w:tcW w:w="1276" w:type="dxa"/>
          </w:tcPr>
          <w:p w:rsidR="002E1B84" w:rsidRPr="001528C9" w:rsidRDefault="002E1B84" w:rsidP="00194D39">
            <w:pPr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559" w:type="dxa"/>
          </w:tcPr>
          <w:p w:rsidR="002E1B84" w:rsidRPr="001528C9" w:rsidRDefault="002E1B84" w:rsidP="00194D39">
            <w:pPr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710 450</w:t>
            </w:r>
          </w:p>
        </w:tc>
        <w:tc>
          <w:tcPr>
            <w:tcW w:w="1276" w:type="dxa"/>
          </w:tcPr>
          <w:p w:rsidR="002E1B84" w:rsidRPr="001528C9" w:rsidRDefault="002E1B84" w:rsidP="00194D39">
            <w:pPr>
              <w:ind w:firstLine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1 169 240</w:t>
            </w:r>
          </w:p>
        </w:tc>
        <w:tc>
          <w:tcPr>
            <w:tcW w:w="2126" w:type="dxa"/>
          </w:tcPr>
          <w:tbl>
            <w:tblPr>
              <w:tblW w:w="1186" w:type="dxa"/>
              <w:tblCellSpacing w:w="15" w:type="dxa"/>
              <w:tblInd w:w="74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"/>
              <w:gridCol w:w="1079"/>
            </w:tblGrid>
            <w:tr w:rsidR="002E1B84" w:rsidRPr="001528C9" w:rsidTr="00DE389C">
              <w:trPr>
                <w:trHeight w:val="289"/>
                <w:tblCellSpacing w:w="15" w:type="dxa"/>
              </w:trPr>
              <w:tc>
                <w:tcPr>
                  <w:tcW w:w="62" w:type="dxa"/>
                  <w:noWrap/>
                  <w:vAlign w:val="center"/>
                  <w:hideMark/>
                </w:tcPr>
                <w:p w:rsidR="002E1B84" w:rsidRPr="001528C9" w:rsidRDefault="002E1B84" w:rsidP="00194D39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4" w:type="dxa"/>
                  <w:noWrap/>
                  <w:vAlign w:val="center"/>
                  <w:hideMark/>
                </w:tcPr>
                <w:p w:rsidR="002E1B84" w:rsidRPr="001528C9" w:rsidRDefault="002E1B84" w:rsidP="00194D39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8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3 912 845</w:t>
                  </w:r>
                </w:p>
              </w:tc>
            </w:tr>
          </w:tbl>
          <w:p w:rsidR="002E1B84" w:rsidRPr="001528C9" w:rsidRDefault="002E1B84" w:rsidP="00194D39">
            <w:pPr>
              <w:ind w:firstLine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E1B84" w:rsidRPr="001528C9" w:rsidRDefault="002E1B84" w:rsidP="00194D39">
            <w:pPr>
              <w:ind w:firstLine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175,2</w:t>
            </w:r>
          </w:p>
        </w:tc>
        <w:tc>
          <w:tcPr>
            <w:tcW w:w="1559" w:type="dxa"/>
          </w:tcPr>
          <w:p w:rsidR="002E1B84" w:rsidRPr="001528C9" w:rsidRDefault="002E1B84" w:rsidP="00194D39">
            <w:pPr>
              <w:tabs>
                <w:tab w:val="left" w:pos="1060"/>
              </w:tabs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13,36</w:t>
            </w:r>
          </w:p>
        </w:tc>
      </w:tr>
      <w:tr w:rsidR="002E1B84" w:rsidRPr="001528C9" w:rsidTr="002E1B84">
        <w:tc>
          <w:tcPr>
            <w:tcW w:w="1276" w:type="dxa"/>
          </w:tcPr>
          <w:p w:rsidR="002E1B84" w:rsidRPr="001528C9" w:rsidRDefault="002E1B84" w:rsidP="00194D39">
            <w:pPr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559" w:type="dxa"/>
          </w:tcPr>
          <w:tbl>
            <w:tblPr>
              <w:tblW w:w="137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"/>
              <w:gridCol w:w="1225"/>
            </w:tblGrid>
            <w:tr w:rsidR="002E1B84" w:rsidRPr="001528C9" w:rsidTr="0064292D">
              <w:trPr>
                <w:trHeight w:val="278"/>
                <w:tblCellSpacing w:w="15" w:type="dxa"/>
              </w:trPr>
              <w:tc>
                <w:tcPr>
                  <w:tcW w:w="102" w:type="dxa"/>
                  <w:vAlign w:val="center"/>
                  <w:hideMark/>
                </w:tcPr>
                <w:p w:rsidR="002E1B84" w:rsidRPr="001528C9" w:rsidRDefault="002E1B84" w:rsidP="00194D39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noWrap/>
                  <w:vAlign w:val="center"/>
                  <w:hideMark/>
                </w:tcPr>
                <w:p w:rsidR="002E1B84" w:rsidRPr="001528C9" w:rsidRDefault="002E1B84" w:rsidP="00194D39">
                  <w:pPr>
                    <w:spacing w:after="0" w:line="240" w:lineRule="auto"/>
                    <w:ind w:firstLine="28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8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863 803</w:t>
                  </w:r>
                </w:p>
              </w:tc>
            </w:tr>
          </w:tbl>
          <w:p w:rsidR="002E1B84" w:rsidRPr="001528C9" w:rsidRDefault="002E1B84" w:rsidP="00194D39">
            <w:pPr>
              <w:ind w:firstLine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E1B84" w:rsidRPr="001528C9" w:rsidRDefault="002E1B84" w:rsidP="00194D39">
            <w:pPr>
              <w:ind w:firstLine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1 481 068</w:t>
            </w:r>
          </w:p>
        </w:tc>
        <w:tc>
          <w:tcPr>
            <w:tcW w:w="2126" w:type="dxa"/>
          </w:tcPr>
          <w:p w:rsidR="002E1B84" w:rsidRPr="001528C9" w:rsidRDefault="002E1B84" w:rsidP="00194D39">
            <w:pPr>
              <w:ind w:firstLine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4 464 519</w:t>
            </w:r>
          </w:p>
        </w:tc>
        <w:tc>
          <w:tcPr>
            <w:tcW w:w="1560" w:type="dxa"/>
          </w:tcPr>
          <w:p w:rsidR="002E1B84" w:rsidRPr="001528C9" w:rsidRDefault="002E1B84" w:rsidP="00194D39">
            <w:pPr>
              <w:ind w:firstLine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182,2</w:t>
            </w:r>
          </w:p>
        </w:tc>
        <w:tc>
          <w:tcPr>
            <w:tcW w:w="1559" w:type="dxa"/>
            <w:vAlign w:val="center"/>
          </w:tcPr>
          <w:tbl>
            <w:tblPr>
              <w:tblW w:w="145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"/>
              <w:gridCol w:w="1339"/>
            </w:tblGrid>
            <w:tr w:rsidR="002E1B84" w:rsidRPr="001528C9" w:rsidTr="002E1B84">
              <w:trPr>
                <w:trHeight w:val="231"/>
                <w:tblCellSpacing w:w="15" w:type="dxa"/>
              </w:trPr>
              <w:tc>
                <w:tcPr>
                  <w:tcW w:w="67" w:type="dxa"/>
                  <w:noWrap/>
                  <w:vAlign w:val="center"/>
                  <w:hideMark/>
                </w:tcPr>
                <w:p w:rsidR="002E1B84" w:rsidRPr="001528C9" w:rsidRDefault="002E1B84" w:rsidP="00194D39">
                  <w:pPr>
                    <w:tabs>
                      <w:tab w:val="left" w:pos="1060"/>
                    </w:tabs>
                    <w:spacing w:after="0" w:line="240" w:lineRule="auto"/>
                    <w:ind w:firstLine="28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4" w:type="dxa"/>
                  <w:noWrap/>
                  <w:vAlign w:val="center"/>
                  <w:hideMark/>
                </w:tcPr>
                <w:p w:rsidR="002E1B84" w:rsidRPr="001528C9" w:rsidRDefault="002E1B84" w:rsidP="00194D39">
                  <w:pPr>
                    <w:tabs>
                      <w:tab w:val="left" w:pos="1168"/>
                    </w:tabs>
                    <w:spacing w:after="0" w:line="240" w:lineRule="auto"/>
                    <w:ind w:right="97" w:firstLine="284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8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12,49</w:t>
                  </w:r>
                </w:p>
              </w:tc>
            </w:tr>
          </w:tbl>
          <w:p w:rsidR="002E1B84" w:rsidRPr="001528C9" w:rsidRDefault="002E1B84" w:rsidP="00194D39">
            <w:pPr>
              <w:tabs>
                <w:tab w:val="left" w:pos="1060"/>
              </w:tabs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B84" w:rsidRPr="001528C9" w:rsidTr="002E1B84">
        <w:tc>
          <w:tcPr>
            <w:tcW w:w="1276" w:type="dxa"/>
          </w:tcPr>
          <w:p w:rsidR="002E1B84" w:rsidRPr="001528C9" w:rsidRDefault="007F0997" w:rsidP="00194D39">
            <w:pPr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28C9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  <w:r w:rsidR="002E1B84" w:rsidRPr="001528C9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559" w:type="dxa"/>
          </w:tcPr>
          <w:p w:rsidR="002E1B84" w:rsidRPr="001528C9" w:rsidRDefault="007F0997" w:rsidP="00194D39">
            <w:pPr>
              <w:ind w:firstLine="2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704 675</w:t>
            </w:r>
          </w:p>
        </w:tc>
        <w:tc>
          <w:tcPr>
            <w:tcW w:w="1276" w:type="dxa"/>
          </w:tcPr>
          <w:p w:rsidR="002E1B84" w:rsidRPr="001528C9" w:rsidRDefault="007F0997" w:rsidP="00194D39">
            <w:pPr>
              <w:ind w:firstLine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8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7"/>
              </w:rPr>
              <w:t>1 289 474</w:t>
            </w:r>
          </w:p>
        </w:tc>
        <w:tc>
          <w:tcPr>
            <w:tcW w:w="2126" w:type="dxa"/>
          </w:tcPr>
          <w:p w:rsidR="002E1B84" w:rsidRPr="001528C9" w:rsidRDefault="007F0997" w:rsidP="00194D39">
            <w:pPr>
              <w:ind w:firstLine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8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7"/>
              </w:rPr>
              <w:t>4 882 482</w:t>
            </w:r>
          </w:p>
        </w:tc>
        <w:tc>
          <w:tcPr>
            <w:tcW w:w="1560" w:type="dxa"/>
          </w:tcPr>
          <w:p w:rsidR="002E1B84" w:rsidRPr="001528C9" w:rsidRDefault="007F0997" w:rsidP="00194D39">
            <w:pPr>
              <w:ind w:firstLine="2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1559" w:type="dxa"/>
            <w:vAlign w:val="center"/>
          </w:tcPr>
          <w:p w:rsidR="002E1B84" w:rsidRPr="001528C9" w:rsidRDefault="007F0997" w:rsidP="00194D39">
            <w:pPr>
              <w:ind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28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7F7"/>
              </w:rPr>
              <w:t>11,10</w:t>
            </w:r>
          </w:p>
        </w:tc>
      </w:tr>
    </w:tbl>
    <w:p w:rsidR="00DE389C" w:rsidRPr="001528C9" w:rsidRDefault="00DE389C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E389C" w:rsidRPr="001528C9" w:rsidRDefault="008078CD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 xml:space="preserve">Динамика </w:t>
      </w:r>
      <w:r w:rsidR="00DE389C" w:rsidRPr="001528C9">
        <w:rPr>
          <w:rFonts w:ascii="Times New Roman" w:hAnsi="Times New Roman" w:cs="Times New Roman"/>
          <w:sz w:val="20"/>
          <w:szCs w:val="20"/>
        </w:rPr>
        <w:t>изменения вышеперечисленных показателей</w:t>
      </w:r>
      <w:r w:rsidRPr="001528C9">
        <w:rPr>
          <w:rFonts w:ascii="Times New Roman" w:hAnsi="Times New Roman" w:cs="Times New Roman"/>
          <w:sz w:val="20"/>
          <w:szCs w:val="20"/>
        </w:rPr>
        <w:t xml:space="preserve"> </w:t>
      </w:r>
      <w:r w:rsidR="002252A7" w:rsidRPr="001528C9">
        <w:rPr>
          <w:rFonts w:ascii="Times New Roman" w:hAnsi="Times New Roman" w:cs="Times New Roman"/>
          <w:sz w:val="20"/>
          <w:szCs w:val="20"/>
        </w:rPr>
        <w:t>представлена на графиках (рис. 2, 3</w:t>
      </w:r>
      <w:r w:rsidRPr="001528C9">
        <w:rPr>
          <w:rFonts w:ascii="Times New Roman" w:hAnsi="Times New Roman" w:cs="Times New Roman"/>
          <w:sz w:val="20"/>
          <w:szCs w:val="20"/>
        </w:rPr>
        <w:t>)</w:t>
      </w:r>
      <w:r w:rsidR="00DE389C" w:rsidRPr="001528C9">
        <w:rPr>
          <w:rFonts w:ascii="Times New Roman" w:hAnsi="Times New Roman" w:cs="Times New Roman"/>
          <w:sz w:val="20"/>
          <w:szCs w:val="20"/>
        </w:rPr>
        <w:t>.</w:t>
      </w:r>
    </w:p>
    <w:p w:rsidR="00060328" w:rsidRDefault="00060328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 xml:space="preserve">Из данного графика можно сделать вывод о том, что наибольшее количество ипотечных кредитов было выдано к 01.01.2015. В течение 12 месяцев их количество заметно уменьшилось (1,5 раза). Такой скачок связан с увеличением процентной ставки по ипотечным кредитам, кризисной ситуацией в экономике страны. Объём предоставленных кредитов за данный период сократился на 35,35 %. </w:t>
      </w:r>
    </w:p>
    <w:p w:rsidR="00060328" w:rsidRDefault="00060328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 xml:space="preserve">С каждым годом объём задолженности растёт. Почти за весь рассматриваемый период с 2013 года задолженность по предоставленным кредитам выросла практически в 2,5 раза с 2 </w:t>
      </w:r>
      <w:proofErr w:type="spellStart"/>
      <w:r w:rsidRPr="001528C9">
        <w:rPr>
          <w:rFonts w:ascii="Times New Roman" w:hAnsi="Times New Roman" w:cs="Times New Roman"/>
          <w:sz w:val="20"/>
          <w:szCs w:val="20"/>
        </w:rPr>
        <w:t>трл</w:t>
      </w:r>
      <w:proofErr w:type="spellEnd"/>
      <w:r w:rsidRPr="001528C9">
        <w:rPr>
          <w:rFonts w:ascii="Times New Roman" w:hAnsi="Times New Roman" w:cs="Times New Roman"/>
          <w:sz w:val="20"/>
          <w:szCs w:val="20"/>
        </w:rPr>
        <w:t xml:space="preserve">. рублей до 4,8 </w:t>
      </w:r>
      <w:proofErr w:type="spellStart"/>
      <w:r w:rsidRPr="001528C9">
        <w:rPr>
          <w:rFonts w:ascii="Times New Roman" w:hAnsi="Times New Roman" w:cs="Times New Roman"/>
          <w:sz w:val="20"/>
          <w:szCs w:val="20"/>
        </w:rPr>
        <w:t>трл</w:t>
      </w:r>
      <w:proofErr w:type="spellEnd"/>
      <w:r w:rsidRPr="001528C9">
        <w:rPr>
          <w:rFonts w:ascii="Times New Roman" w:hAnsi="Times New Roman" w:cs="Times New Roman"/>
          <w:sz w:val="20"/>
          <w:szCs w:val="20"/>
        </w:rPr>
        <w:t xml:space="preserve">. рублей. Коэффициент </w:t>
      </w:r>
      <w:proofErr w:type="spellStart"/>
      <w:r w:rsidRPr="001528C9">
        <w:rPr>
          <w:rFonts w:ascii="Times New Roman" w:hAnsi="Times New Roman" w:cs="Times New Roman"/>
          <w:sz w:val="20"/>
          <w:szCs w:val="20"/>
        </w:rPr>
        <w:t>проблемности</w:t>
      </w:r>
      <w:proofErr w:type="spellEnd"/>
      <w:r w:rsidRPr="001528C9">
        <w:rPr>
          <w:rFonts w:ascii="Times New Roman" w:hAnsi="Times New Roman" w:cs="Times New Roman"/>
          <w:sz w:val="20"/>
          <w:szCs w:val="20"/>
        </w:rPr>
        <w:t xml:space="preserve">  предоставленных кредитов вырос с 1,89 до 3,79. </w:t>
      </w:r>
    </w:p>
    <w:p w:rsidR="00BE50DC" w:rsidRPr="001528C9" w:rsidRDefault="00BE50DC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E389C" w:rsidRPr="001528C9" w:rsidRDefault="00C45BE6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7249364D" wp14:editId="7DB52E8A">
            <wp:extent cx="5959475" cy="3248025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190B" w:rsidRDefault="007948BB" w:rsidP="00194D3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Pr="001528C9">
        <w:rPr>
          <w:rFonts w:ascii="Times New Roman" w:hAnsi="Times New Roman" w:cs="Times New Roman"/>
          <w:sz w:val="20"/>
          <w:szCs w:val="20"/>
        </w:rPr>
        <w:t>2</w:t>
      </w:r>
      <w:r w:rsidRPr="001528C9">
        <w:rPr>
          <w:rFonts w:ascii="Times New Roman" w:hAnsi="Times New Roman" w:cs="Times New Roman"/>
          <w:sz w:val="20"/>
          <w:szCs w:val="20"/>
        </w:rPr>
        <w:t xml:space="preserve"> </w:t>
      </w:r>
      <w:r w:rsidRPr="001528C9">
        <w:rPr>
          <w:rFonts w:ascii="Times New Roman" w:hAnsi="Times New Roman" w:cs="Times New Roman"/>
          <w:sz w:val="20"/>
          <w:szCs w:val="20"/>
        </w:rPr>
        <w:sym w:font="Symbol" w:char="F02D"/>
      </w:r>
      <w:r w:rsidRPr="001528C9">
        <w:rPr>
          <w:rFonts w:ascii="Times New Roman" w:hAnsi="Times New Roman" w:cs="Times New Roman"/>
          <w:sz w:val="20"/>
          <w:szCs w:val="20"/>
        </w:rPr>
        <w:t xml:space="preserve"> </w:t>
      </w:r>
      <w:r w:rsidR="00357088" w:rsidRPr="001528C9">
        <w:rPr>
          <w:rFonts w:ascii="Times New Roman" w:hAnsi="Times New Roman" w:cs="Times New Roman"/>
          <w:sz w:val="20"/>
          <w:szCs w:val="20"/>
        </w:rPr>
        <w:t>Динамика изменения</w:t>
      </w:r>
      <w:r w:rsidR="0068190B" w:rsidRPr="001528C9">
        <w:rPr>
          <w:rFonts w:ascii="Times New Roman" w:hAnsi="Times New Roman" w:cs="Times New Roman"/>
          <w:sz w:val="20"/>
          <w:szCs w:val="20"/>
        </w:rPr>
        <w:t>, количества предоставленных кредитов, объёма предоставленных кредитов, задолженности по жилищным кредитам, предоставленным физическим лицам-резидентам</w:t>
      </w:r>
    </w:p>
    <w:p w:rsidR="00060328" w:rsidRPr="001528C9" w:rsidRDefault="00060328" w:rsidP="00194D3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721BA1" w:rsidRPr="001528C9" w:rsidRDefault="00721BA1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 xml:space="preserve">Причины уменьшения объёмов </w:t>
      </w:r>
      <w:r w:rsidR="00EE5AD2" w:rsidRPr="001528C9">
        <w:rPr>
          <w:rFonts w:ascii="Times New Roman" w:hAnsi="Times New Roman" w:cs="Times New Roman"/>
          <w:sz w:val="20"/>
          <w:szCs w:val="20"/>
        </w:rPr>
        <w:t xml:space="preserve">и задолженности по предоставленным кредитам </w:t>
      </w:r>
      <w:r w:rsidRPr="001528C9">
        <w:rPr>
          <w:rFonts w:ascii="Times New Roman" w:hAnsi="Times New Roman" w:cs="Times New Roman"/>
          <w:sz w:val="20"/>
          <w:szCs w:val="20"/>
        </w:rPr>
        <w:t xml:space="preserve">заключаются в следующем: </w:t>
      </w:r>
    </w:p>
    <w:p w:rsidR="00EE5AD2" w:rsidRPr="001528C9" w:rsidRDefault="00EE5AD2" w:rsidP="00194D39">
      <w:pPr>
        <w:pStyle w:val="a5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>Снижение реально располагаемых доходов населения</w:t>
      </w:r>
      <w:r w:rsidR="00F20B68" w:rsidRPr="001528C9">
        <w:rPr>
          <w:rFonts w:ascii="Times New Roman" w:hAnsi="Times New Roman" w:cs="Times New Roman"/>
          <w:sz w:val="20"/>
          <w:szCs w:val="20"/>
        </w:rPr>
        <w:t>. Ч</w:t>
      </w:r>
      <w:r w:rsidR="00FB69C8" w:rsidRPr="001528C9">
        <w:rPr>
          <w:rFonts w:ascii="Times New Roman" w:hAnsi="Times New Roman" w:cs="Times New Roman"/>
          <w:sz w:val="20"/>
          <w:szCs w:val="20"/>
        </w:rPr>
        <w:t>ем ниже реальные доходы населения, тем труднее совершать крупные покупки, осуществлять выплаты по ипотеке</w:t>
      </w:r>
      <w:r w:rsidRPr="001528C9">
        <w:rPr>
          <w:rFonts w:ascii="Times New Roman" w:hAnsi="Times New Roman" w:cs="Times New Roman"/>
          <w:sz w:val="20"/>
          <w:szCs w:val="20"/>
        </w:rPr>
        <w:t>;</w:t>
      </w:r>
    </w:p>
    <w:p w:rsidR="00EE5AD2" w:rsidRPr="001528C9" w:rsidRDefault="00EE5AD2" w:rsidP="00194D39">
      <w:pPr>
        <w:pStyle w:val="a5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>Рост уровня безработицы</w:t>
      </w:r>
      <w:r w:rsidR="00063DAC" w:rsidRPr="001528C9">
        <w:rPr>
          <w:rFonts w:ascii="Times New Roman" w:hAnsi="Times New Roman" w:cs="Times New Roman"/>
          <w:sz w:val="20"/>
          <w:szCs w:val="20"/>
        </w:rPr>
        <w:t>. Существует зависимость между уровнем безработицы и развитием ипотечного рынка: чем ниже уровень безработицы, тем больше выдано жилищных кредитов и наоборот</w:t>
      </w:r>
      <w:r w:rsidRPr="001528C9">
        <w:rPr>
          <w:rFonts w:ascii="Times New Roman" w:hAnsi="Times New Roman" w:cs="Times New Roman"/>
          <w:sz w:val="20"/>
          <w:szCs w:val="20"/>
        </w:rPr>
        <w:t>;</w:t>
      </w:r>
    </w:p>
    <w:p w:rsidR="00F20B68" w:rsidRPr="001528C9" w:rsidRDefault="00F20B68" w:rsidP="00194D39">
      <w:pPr>
        <w:pStyle w:val="a5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>Высокий уровень инфляции</w:t>
      </w:r>
      <w:r w:rsidR="00063DAC" w:rsidRPr="001528C9">
        <w:rPr>
          <w:rFonts w:ascii="Times New Roman" w:hAnsi="Times New Roman" w:cs="Times New Roman"/>
          <w:sz w:val="20"/>
          <w:szCs w:val="20"/>
        </w:rPr>
        <w:t>. Уровень инфляции и ставка рефинансирования являются взаимозависимыми показателями</w:t>
      </w:r>
      <w:r w:rsidR="003371C6" w:rsidRPr="001528C9">
        <w:rPr>
          <w:rFonts w:ascii="Times New Roman" w:hAnsi="Times New Roman" w:cs="Times New Roman"/>
          <w:sz w:val="20"/>
          <w:szCs w:val="20"/>
        </w:rPr>
        <w:t>, поскольку они отражают экономическую ситуацию в стране</w:t>
      </w:r>
      <w:proofErr w:type="gramStart"/>
      <w:r w:rsidR="003371C6" w:rsidRPr="001528C9">
        <w:rPr>
          <w:rFonts w:ascii="Times New Roman" w:hAnsi="Times New Roman" w:cs="Times New Roman"/>
          <w:sz w:val="20"/>
          <w:szCs w:val="20"/>
        </w:rPr>
        <w:t xml:space="preserve"> Е</w:t>
      </w:r>
      <w:proofErr w:type="gramEnd"/>
      <w:r w:rsidR="003371C6" w:rsidRPr="001528C9">
        <w:rPr>
          <w:rFonts w:ascii="Times New Roman" w:hAnsi="Times New Roman" w:cs="Times New Roman"/>
          <w:sz w:val="20"/>
          <w:szCs w:val="20"/>
        </w:rPr>
        <w:t>сли растет инфляция, будет отмечаться р</w:t>
      </w:r>
      <w:r w:rsidR="00293216" w:rsidRPr="001528C9">
        <w:rPr>
          <w:rFonts w:ascii="Times New Roman" w:hAnsi="Times New Roman" w:cs="Times New Roman"/>
          <w:sz w:val="20"/>
          <w:szCs w:val="20"/>
        </w:rPr>
        <w:t>ост</w:t>
      </w:r>
      <w:r w:rsidR="003371C6" w:rsidRPr="001528C9">
        <w:rPr>
          <w:rFonts w:ascii="Times New Roman" w:hAnsi="Times New Roman" w:cs="Times New Roman"/>
          <w:sz w:val="20"/>
          <w:szCs w:val="20"/>
        </w:rPr>
        <w:t xml:space="preserve"> ставки рефинансирования Центрального Банка</w:t>
      </w:r>
      <w:r w:rsidRPr="001528C9">
        <w:rPr>
          <w:rFonts w:ascii="Times New Roman" w:hAnsi="Times New Roman" w:cs="Times New Roman"/>
          <w:sz w:val="20"/>
          <w:szCs w:val="20"/>
        </w:rPr>
        <w:t>.</w:t>
      </w:r>
      <w:r w:rsidR="003371C6" w:rsidRPr="001528C9">
        <w:rPr>
          <w:rFonts w:ascii="Times New Roman" w:hAnsi="Times New Roman" w:cs="Times New Roman"/>
          <w:sz w:val="20"/>
          <w:szCs w:val="20"/>
        </w:rPr>
        <w:t xml:space="preserve"> Чем выше ставка рефинансирования, тем выше ставки по кредитам во всех коммерческих банках</w:t>
      </w:r>
      <w:r w:rsidR="00065203" w:rsidRPr="001528C9">
        <w:rPr>
          <w:rFonts w:ascii="Times New Roman" w:hAnsi="Times New Roman" w:cs="Times New Roman"/>
          <w:sz w:val="20"/>
          <w:szCs w:val="20"/>
        </w:rPr>
        <w:t xml:space="preserve"> [</w:t>
      </w:r>
      <w:r w:rsidR="00E306F2">
        <w:rPr>
          <w:rFonts w:ascii="Times New Roman" w:hAnsi="Times New Roman" w:cs="Times New Roman"/>
          <w:sz w:val="20"/>
          <w:szCs w:val="20"/>
        </w:rPr>
        <w:t>5</w:t>
      </w:r>
      <w:r w:rsidR="00065203" w:rsidRPr="001528C9">
        <w:rPr>
          <w:rFonts w:ascii="Times New Roman" w:hAnsi="Times New Roman" w:cs="Times New Roman"/>
          <w:sz w:val="20"/>
          <w:szCs w:val="20"/>
        </w:rPr>
        <w:t>]</w:t>
      </w:r>
      <w:r w:rsidR="003371C6" w:rsidRPr="001528C9">
        <w:rPr>
          <w:rFonts w:ascii="Times New Roman" w:hAnsi="Times New Roman" w:cs="Times New Roman"/>
          <w:sz w:val="20"/>
          <w:szCs w:val="20"/>
        </w:rPr>
        <w:t>.</w:t>
      </w:r>
    </w:p>
    <w:p w:rsidR="00E306F2" w:rsidRPr="00E306F2" w:rsidRDefault="00E306F2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306F2">
        <w:rPr>
          <w:rFonts w:ascii="Times New Roman" w:hAnsi="Times New Roman" w:cs="Times New Roman"/>
          <w:sz w:val="20"/>
          <w:szCs w:val="20"/>
        </w:rPr>
        <w:t>По данным графика можно сделать вывод о том, что во всём периоде наблюдаются скачки средневзвешенной ставки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306F2"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  <w:t>[6].</w:t>
      </w:r>
      <w:r w:rsidRPr="00E306F2">
        <w:rPr>
          <w:rFonts w:ascii="Times New Roman" w:hAnsi="Times New Roman" w:cs="Times New Roman"/>
          <w:sz w:val="20"/>
          <w:szCs w:val="20"/>
        </w:rPr>
        <w:t xml:space="preserve"> Наименьшая процентная ставка за весь рассматриваемый период наблюдается на 1 октября 2017 года, в течение 10 месяцев данный показатель уменьшился до 11,10 %. Изменение процентной ставки коммерческих банков имеет зависимость с  изменением ключевой ставки. Причина уменьшения ключевой ставки с 01.01. 2016 года по настоящее время – стабилизация уровня инфляции, снижение инфляционных рисков, восстановление экономики страны. Также на данном графике видна тенденция увеличения срока кредитования с 176,6 месяцев до 185,9 месяцев.</w:t>
      </w:r>
    </w:p>
    <w:p w:rsidR="00E306F2" w:rsidRPr="00E306F2" w:rsidRDefault="00E306F2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</w:pPr>
      <w:r w:rsidRPr="00E306F2">
        <w:rPr>
          <w:rFonts w:ascii="Times New Roman" w:hAnsi="Times New Roman" w:cs="Times New Roman"/>
          <w:sz w:val="20"/>
          <w:szCs w:val="20"/>
        </w:rPr>
        <w:t xml:space="preserve"> На сегодня средний срок кредитования составляет 185,9 месяцев (16 лет). Максимальная </w:t>
      </w:r>
      <w:r w:rsidRPr="00E306F2"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  <w:t>средневзвешенная процентная ставка была в 2016 году и составляла 13,36 %. На сегодня по прогнозам российских банков к концу года данный показатель достигнет уровня ниже 10 % годовых [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  <w:t>7</w:t>
      </w:r>
      <w:r w:rsidRPr="00E306F2"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  <w:t>].</w:t>
      </w:r>
    </w:p>
    <w:p w:rsidR="00293216" w:rsidRPr="001528C9" w:rsidRDefault="00293216" w:rsidP="00194D39">
      <w:pPr>
        <w:pStyle w:val="a5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4723A0" w:rsidRPr="001528C9" w:rsidRDefault="004723A0" w:rsidP="00194D39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2AC76D07" wp14:editId="3FAE79FD">
            <wp:extent cx="5876925" cy="2895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93216" w:rsidRPr="001528C9" w:rsidRDefault="0037673D" w:rsidP="00194D39">
      <w:pPr>
        <w:pStyle w:val="a5"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>Рис.</w:t>
      </w:r>
      <w:r w:rsidR="00293216" w:rsidRPr="001528C9">
        <w:rPr>
          <w:rFonts w:ascii="Times New Roman" w:hAnsi="Times New Roman" w:cs="Times New Roman"/>
          <w:sz w:val="20"/>
          <w:szCs w:val="20"/>
        </w:rPr>
        <w:t xml:space="preserve"> 2 </w:t>
      </w:r>
      <w:r w:rsidR="00293216" w:rsidRPr="001528C9">
        <w:rPr>
          <w:rFonts w:ascii="Times New Roman" w:hAnsi="Times New Roman" w:cs="Times New Roman"/>
          <w:sz w:val="20"/>
          <w:szCs w:val="20"/>
        </w:rPr>
        <w:sym w:font="Symbol" w:char="F02D"/>
      </w:r>
      <w:r w:rsidR="00293216" w:rsidRPr="001528C9">
        <w:rPr>
          <w:rFonts w:ascii="Times New Roman" w:eastAsia="Times New Roman" w:hAnsi="Times New Roman" w:cs="Times New Roman"/>
          <w:b/>
          <w:bCs/>
          <w:color w:val="000000"/>
          <w:kern w:val="24"/>
          <w:sz w:val="20"/>
          <w:szCs w:val="20"/>
          <w:lang w:eastAsia="ru-RU"/>
        </w:rPr>
        <w:t xml:space="preserve"> </w:t>
      </w:r>
      <w:r w:rsidR="00293216" w:rsidRPr="001528C9">
        <w:rPr>
          <w:rFonts w:ascii="Times New Roman" w:hAnsi="Times New Roman" w:cs="Times New Roman"/>
          <w:bCs/>
          <w:sz w:val="20"/>
          <w:szCs w:val="20"/>
        </w:rPr>
        <w:t>Динамика изменения средневзвешенного срока кредитования и средневзвешенной ставки по жилищным кредитам, предоставленным физическим лицам-резидентам</w:t>
      </w:r>
    </w:p>
    <w:p w:rsidR="00293216" w:rsidRPr="00194D39" w:rsidRDefault="00293216" w:rsidP="00194D39">
      <w:pPr>
        <w:spacing w:after="0" w:line="240" w:lineRule="auto"/>
        <w:ind w:firstLine="284"/>
        <w:jc w:val="center"/>
        <w:rPr>
          <w:rFonts w:ascii="Times New Roman" w:hAnsi="Times New Roman" w:cs="Times New Roman"/>
          <w:smallCaps/>
          <w:color w:val="000000"/>
          <w:sz w:val="20"/>
          <w:szCs w:val="20"/>
          <w:lang w:val="en-US"/>
        </w:rPr>
      </w:pPr>
    </w:p>
    <w:p w:rsidR="00194D39" w:rsidRPr="00194D39" w:rsidRDefault="00194D39" w:rsidP="00194D39">
      <w:pPr>
        <w:spacing w:after="0" w:line="240" w:lineRule="auto"/>
        <w:ind w:firstLine="284"/>
        <w:jc w:val="center"/>
        <w:rPr>
          <w:rFonts w:ascii="Times New Roman" w:hAnsi="Times New Roman" w:cs="Times New Roman"/>
          <w:smallCaps/>
          <w:color w:val="000000"/>
          <w:sz w:val="20"/>
          <w:szCs w:val="20"/>
          <w:lang w:val="en-US"/>
        </w:rPr>
      </w:pPr>
      <w:r w:rsidRPr="00194D39">
        <w:rPr>
          <w:rFonts w:ascii="Times New Roman" w:hAnsi="Times New Roman" w:cs="Times New Roman"/>
          <w:smallCaps/>
          <w:color w:val="000000"/>
          <w:sz w:val="20"/>
          <w:szCs w:val="20"/>
          <w:lang w:val="en-US"/>
        </w:rPr>
        <w:t>V. Обсуждение результатов</w:t>
      </w:r>
    </w:p>
    <w:p w:rsidR="00194D39" w:rsidRPr="00194D39" w:rsidRDefault="00194D39" w:rsidP="00194D39">
      <w:pPr>
        <w:spacing w:after="0" w:line="240" w:lineRule="auto"/>
        <w:ind w:firstLine="284"/>
        <w:jc w:val="center"/>
        <w:rPr>
          <w:rFonts w:ascii="Times New Roman" w:hAnsi="Times New Roman" w:cs="Times New Roman"/>
          <w:smallCaps/>
          <w:color w:val="000000"/>
          <w:sz w:val="20"/>
          <w:szCs w:val="20"/>
          <w:lang w:val="en-US"/>
        </w:rPr>
      </w:pPr>
    </w:p>
    <w:p w:rsidR="00004208" w:rsidRPr="001528C9" w:rsidRDefault="00A0511A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>Проведём анализ ипот</w:t>
      </w:r>
      <w:r w:rsidR="00C97A5F" w:rsidRPr="001528C9">
        <w:rPr>
          <w:rFonts w:ascii="Times New Roman" w:hAnsi="Times New Roman" w:cs="Times New Roman"/>
          <w:sz w:val="20"/>
          <w:szCs w:val="20"/>
        </w:rPr>
        <w:t xml:space="preserve">ечного портфеля ведущих банков страны. </w:t>
      </w:r>
      <w:r w:rsidR="00BA5DD6" w:rsidRPr="001528C9">
        <w:rPr>
          <w:rFonts w:ascii="Times New Roman" w:hAnsi="Times New Roman" w:cs="Times New Roman"/>
          <w:sz w:val="20"/>
          <w:szCs w:val="20"/>
        </w:rPr>
        <w:t xml:space="preserve">Объектами нашего исследования будут такие банки, как </w:t>
      </w:r>
      <w:r w:rsidR="002B4EB0" w:rsidRPr="001528C9">
        <w:rPr>
          <w:rFonts w:ascii="Times New Roman" w:hAnsi="Times New Roman" w:cs="Times New Roman"/>
          <w:sz w:val="20"/>
          <w:szCs w:val="20"/>
        </w:rPr>
        <w:t>ПАО «</w:t>
      </w:r>
      <w:r w:rsidR="00BA5DD6" w:rsidRPr="001528C9">
        <w:rPr>
          <w:rFonts w:ascii="Times New Roman" w:hAnsi="Times New Roman" w:cs="Times New Roman"/>
          <w:sz w:val="20"/>
          <w:szCs w:val="20"/>
        </w:rPr>
        <w:t>Сбербанк России</w:t>
      </w:r>
      <w:r w:rsidR="002B4EB0" w:rsidRPr="001528C9">
        <w:rPr>
          <w:rFonts w:ascii="Times New Roman" w:hAnsi="Times New Roman" w:cs="Times New Roman"/>
          <w:sz w:val="20"/>
          <w:szCs w:val="20"/>
        </w:rPr>
        <w:t>»</w:t>
      </w:r>
      <w:r w:rsidR="00BA5DD6" w:rsidRPr="001528C9">
        <w:rPr>
          <w:rFonts w:ascii="Times New Roman" w:hAnsi="Times New Roman" w:cs="Times New Roman"/>
          <w:sz w:val="20"/>
          <w:szCs w:val="20"/>
        </w:rPr>
        <w:t xml:space="preserve">, </w:t>
      </w:r>
      <w:r w:rsidR="002B4EB0" w:rsidRPr="001528C9">
        <w:rPr>
          <w:rFonts w:ascii="Times New Roman" w:hAnsi="Times New Roman" w:cs="Times New Roman"/>
          <w:sz w:val="20"/>
          <w:szCs w:val="20"/>
        </w:rPr>
        <w:t>ПАО «Банк ВТБ 24»</w:t>
      </w:r>
      <w:r w:rsidR="00BA5DD6" w:rsidRPr="001528C9">
        <w:rPr>
          <w:rFonts w:ascii="Times New Roman" w:hAnsi="Times New Roman" w:cs="Times New Roman"/>
          <w:sz w:val="20"/>
          <w:szCs w:val="20"/>
        </w:rPr>
        <w:t xml:space="preserve">, </w:t>
      </w:r>
      <w:r w:rsidR="002B4EB0" w:rsidRPr="001528C9">
        <w:rPr>
          <w:rFonts w:ascii="Times New Roman" w:hAnsi="Times New Roman" w:cs="Times New Roman"/>
          <w:sz w:val="20"/>
          <w:szCs w:val="20"/>
        </w:rPr>
        <w:t>АО «</w:t>
      </w:r>
      <w:r w:rsidR="00BA5DD6" w:rsidRPr="001528C9">
        <w:rPr>
          <w:rFonts w:ascii="Times New Roman" w:hAnsi="Times New Roman" w:cs="Times New Roman"/>
          <w:sz w:val="20"/>
          <w:szCs w:val="20"/>
        </w:rPr>
        <w:t>Газпромбанк</w:t>
      </w:r>
      <w:r w:rsidR="002B4EB0" w:rsidRPr="001528C9">
        <w:rPr>
          <w:rFonts w:ascii="Times New Roman" w:hAnsi="Times New Roman" w:cs="Times New Roman"/>
          <w:sz w:val="20"/>
          <w:szCs w:val="20"/>
        </w:rPr>
        <w:t>»</w:t>
      </w:r>
      <w:r w:rsidR="00BA5DD6" w:rsidRPr="001528C9">
        <w:rPr>
          <w:rFonts w:ascii="Times New Roman" w:hAnsi="Times New Roman" w:cs="Times New Roman"/>
          <w:sz w:val="20"/>
          <w:szCs w:val="20"/>
        </w:rPr>
        <w:t>,</w:t>
      </w:r>
      <w:r w:rsidR="00EC2E8D" w:rsidRPr="001528C9">
        <w:rPr>
          <w:rFonts w:ascii="Times New Roman" w:hAnsi="Times New Roman" w:cs="Times New Roman"/>
          <w:sz w:val="20"/>
          <w:szCs w:val="20"/>
        </w:rPr>
        <w:t xml:space="preserve"> АО</w:t>
      </w:r>
      <w:r w:rsidR="00BA5DD6" w:rsidRPr="001528C9">
        <w:rPr>
          <w:rFonts w:ascii="Times New Roman" w:hAnsi="Times New Roman" w:cs="Times New Roman"/>
          <w:sz w:val="20"/>
          <w:szCs w:val="20"/>
        </w:rPr>
        <w:t xml:space="preserve"> </w:t>
      </w:r>
      <w:r w:rsidR="00EC2E8D" w:rsidRPr="001528C9">
        <w:rPr>
          <w:rFonts w:ascii="Times New Roman" w:hAnsi="Times New Roman" w:cs="Times New Roman"/>
          <w:sz w:val="20"/>
          <w:szCs w:val="20"/>
        </w:rPr>
        <w:t>«</w:t>
      </w:r>
      <w:r w:rsidR="00BA5DD6" w:rsidRPr="001528C9">
        <w:rPr>
          <w:rFonts w:ascii="Times New Roman" w:hAnsi="Times New Roman" w:cs="Times New Roman"/>
          <w:sz w:val="20"/>
          <w:szCs w:val="20"/>
        </w:rPr>
        <w:t>Банк жилищного финансирования</w:t>
      </w:r>
      <w:r w:rsidR="00EC2E8D" w:rsidRPr="001528C9">
        <w:rPr>
          <w:rFonts w:ascii="Times New Roman" w:hAnsi="Times New Roman" w:cs="Times New Roman"/>
          <w:sz w:val="20"/>
          <w:szCs w:val="20"/>
        </w:rPr>
        <w:t>»</w:t>
      </w:r>
      <w:r w:rsidR="00BA5DD6" w:rsidRPr="001528C9">
        <w:rPr>
          <w:rFonts w:ascii="Times New Roman" w:hAnsi="Times New Roman" w:cs="Times New Roman"/>
          <w:sz w:val="20"/>
          <w:szCs w:val="20"/>
        </w:rPr>
        <w:t xml:space="preserve">. Выбор данных банков объясняется тем, что </w:t>
      </w:r>
      <w:r w:rsidR="00EC2E8D" w:rsidRPr="001528C9">
        <w:rPr>
          <w:rFonts w:ascii="Times New Roman" w:hAnsi="Times New Roman" w:cs="Times New Roman"/>
          <w:sz w:val="20"/>
          <w:szCs w:val="20"/>
        </w:rPr>
        <w:t>ПАО «Сбербанк России», ПАО «Банк ВТБ 24», АО «Газпромбанк»</w:t>
      </w:r>
      <w:r w:rsidR="00BA5DD6" w:rsidRPr="001528C9">
        <w:rPr>
          <w:rFonts w:ascii="Times New Roman" w:hAnsi="Times New Roman" w:cs="Times New Roman"/>
          <w:sz w:val="20"/>
          <w:szCs w:val="20"/>
        </w:rPr>
        <w:t xml:space="preserve"> занимают ведущее положение по объёму кредитного портфеля. </w:t>
      </w:r>
      <w:r w:rsidR="00EC2E8D" w:rsidRPr="001528C9">
        <w:rPr>
          <w:rFonts w:ascii="Times New Roman" w:hAnsi="Times New Roman" w:cs="Times New Roman"/>
          <w:sz w:val="20"/>
          <w:szCs w:val="20"/>
        </w:rPr>
        <w:t>АО «</w:t>
      </w:r>
      <w:r w:rsidR="00BA5DD6" w:rsidRPr="001528C9">
        <w:rPr>
          <w:rFonts w:ascii="Times New Roman" w:hAnsi="Times New Roman" w:cs="Times New Roman"/>
          <w:sz w:val="20"/>
          <w:szCs w:val="20"/>
        </w:rPr>
        <w:t>Банк жилищного кредитования</w:t>
      </w:r>
      <w:r w:rsidR="00EC2E8D" w:rsidRPr="001528C9">
        <w:rPr>
          <w:rFonts w:ascii="Times New Roman" w:hAnsi="Times New Roman" w:cs="Times New Roman"/>
          <w:sz w:val="20"/>
          <w:szCs w:val="20"/>
        </w:rPr>
        <w:t>»</w:t>
      </w:r>
      <w:r w:rsidR="00BA5DD6" w:rsidRPr="001528C9">
        <w:rPr>
          <w:rFonts w:ascii="Times New Roman" w:hAnsi="Times New Roman" w:cs="Times New Roman"/>
          <w:sz w:val="20"/>
          <w:szCs w:val="20"/>
        </w:rPr>
        <w:t xml:space="preserve"> является кредитной организацией, специализирующейся на ипотечном кредитовании. У каждой кредитной организации есть как минимум по 5 направлений ипотечного кредитования. Рассмотрим их подробнее.</w:t>
      </w:r>
    </w:p>
    <w:p w:rsidR="00F767AB" w:rsidRPr="001528C9" w:rsidRDefault="002B4EB0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i/>
          <w:sz w:val="20"/>
          <w:szCs w:val="20"/>
        </w:rPr>
        <w:t>ПАО «</w:t>
      </w:r>
      <w:r w:rsidR="00BA5DD6" w:rsidRPr="001528C9">
        <w:rPr>
          <w:rFonts w:ascii="Times New Roman" w:hAnsi="Times New Roman" w:cs="Times New Roman"/>
          <w:i/>
          <w:sz w:val="20"/>
          <w:szCs w:val="20"/>
        </w:rPr>
        <w:t>Сбербанк России</w:t>
      </w:r>
      <w:r w:rsidRPr="001528C9">
        <w:rPr>
          <w:rFonts w:ascii="Times New Roman" w:hAnsi="Times New Roman" w:cs="Times New Roman"/>
          <w:i/>
          <w:sz w:val="20"/>
          <w:szCs w:val="20"/>
        </w:rPr>
        <w:t>»</w:t>
      </w:r>
      <w:r w:rsidR="00BA5DD6" w:rsidRPr="001528C9">
        <w:rPr>
          <w:rFonts w:ascii="Times New Roman" w:hAnsi="Times New Roman" w:cs="Times New Roman"/>
          <w:sz w:val="20"/>
          <w:szCs w:val="20"/>
        </w:rPr>
        <w:t xml:space="preserve"> </w:t>
      </w:r>
      <w:r w:rsidR="009067BA" w:rsidRPr="001528C9">
        <w:rPr>
          <w:rFonts w:ascii="Times New Roman" w:hAnsi="Times New Roman" w:cs="Times New Roman"/>
          <w:sz w:val="20"/>
          <w:szCs w:val="20"/>
        </w:rPr>
        <w:t>предлагает следующие направления ипотечного кредитования.  Кредит на покупку готового жилья предполагает ипотеку от 8,6 % годовых со сроком кредитования от 1 года до 30 лет.</w:t>
      </w:r>
      <w:r w:rsidR="003340EF" w:rsidRPr="001528C9">
        <w:rPr>
          <w:rFonts w:ascii="Times New Roman" w:hAnsi="Times New Roman" w:cs="Times New Roman"/>
          <w:sz w:val="20"/>
          <w:szCs w:val="20"/>
        </w:rPr>
        <w:t xml:space="preserve"> Валюта кредита </w:t>
      </w:r>
      <w:r w:rsidR="003340EF" w:rsidRPr="001528C9">
        <w:rPr>
          <w:rFonts w:ascii="Times New Roman" w:hAnsi="Times New Roman" w:cs="Times New Roman"/>
          <w:sz w:val="20"/>
          <w:szCs w:val="20"/>
        </w:rPr>
        <w:sym w:font="Symbol" w:char="F02D"/>
      </w:r>
      <w:r w:rsidR="009067BA" w:rsidRPr="001528C9">
        <w:rPr>
          <w:rFonts w:ascii="Times New Roman" w:hAnsi="Times New Roman" w:cs="Times New Roman"/>
          <w:sz w:val="20"/>
          <w:szCs w:val="20"/>
        </w:rPr>
        <w:t xml:space="preserve"> рубли. Минимальная сумма данного кредита – 300 000 рублей, первоначальный взнос составляет не менее 15 %.  В качестве обеспечения по кредиту выступает залог кредитуемого или иного жилого помещения. На период до оформления в залог кредитуемого жилого помещения необходимо предоставить иные формы обеспечения, при этом оформление залога имущества на данный срок не обязательно. В случае оформления в обеспечение по кредиту залога жилого дома, расположенного на земельном участке, требуется одновременное оформление залога </w:t>
      </w:r>
      <w:r w:rsidR="00F767AB" w:rsidRPr="001528C9">
        <w:rPr>
          <w:rFonts w:ascii="Times New Roman" w:hAnsi="Times New Roman" w:cs="Times New Roman"/>
          <w:sz w:val="20"/>
          <w:szCs w:val="20"/>
        </w:rPr>
        <w:t xml:space="preserve">данного </w:t>
      </w:r>
      <w:r w:rsidR="009067BA" w:rsidRPr="001528C9">
        <w:rPr>
          <w:rFonts w:ascii="Times New Roman" w:hAnsi="Times New Roman" w:cs="Times New Roman"/>
          <w:sz w:val="20"/>
          <w:szCs w:val="20"/>
        </w:rPr>
        <w:t xml:space="preserve">земельного участка. </w:t>
      </w:r>
      <w:r w:rsidR="00F767AB" w:rsidRPr="001528C9">
        <w:rPr>
          <w:rFonts w:ascii="Times New Roman" w:hAnsi="Times New Roman" w:cs="Times New Roman"/>
          <w:sz w:val="20"/>
          <w:szCs w:val="20"/>
        </w:rPr>
        <w:t>Обязательно</w:t>
      </w:r>
      <w:r w:rsidR="009067BA" w:rsidRPr="001528C9">
        <w:rPr>
          <w:rFonts w:ascii="Times New Roman" w:hAnsi="Times New Roman" w:cs="Times New Roman"/>
          <w:sz w:val="20"/>
          <w:szCs w:val="20"/>
        </w:rPr>
        <w:t xml:space="preserve"> страхование передаваемого в залог имущества (за исключением земел</w:t>
      </w:r>
      <w:r w:rsidR="00F767AB" w:rsidRPr="001528C9">
        <w:rPr>
          <w:rFonts w:ascii="Times New Roman" w:hAnsi="Times New Roman" w:cs="Times New Roman"/>
          <w:sz w:val="20"/>
          <w:szCs w:val="20"/>
        </w:rPr>
        <w:t xml:space="preserve">ьного участка) от рисков утраты или </w:t>
      </w:r>
      <w:r w:rsidR="009067BA" w:rsidRPr="001528C9">
        <w:rPr>
          <w:rFonts w:ascii="Times New Roman" w:hAnsi="Times New Roman" w:cs="Times New Roman"/>
          <w:sz w:val="20"/>
          <w:szCs w:val="20"/>
        </w:rPr>
        <w:t>гибели, повреждения</w:t>
      </w:r>
      <w:r w:rsidR="00F767AB" w:rsidRPr="001528C9">
        <w:rPr>
          <w:rFonts w:ascii="Times New Roman" w:hAnsi="Times New Roman" w:cs="Times New Roman"/>
          <w:sz w:val="20"/>
          <w:szCs w:val="20"/>
        </w:rPr>
        <w:t>.</w:t>
      </w:r>
    </w:p>
    <w:p w:rsidR="009067BA" w:rsidRPr="001528C9" w:rsidRDefault="009067BA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 xml:space="preserve">Следующее направление, которое предлагает </w:t>
      </w:r>
      <w:r w:rsidR="002B4EB0" w:rsidRPr="001528C9">
        <w:rPr>
          <w:rFonts w:ascii="Times New Roman" w:hAnsi="Times New Roman" w:cs="Times New Roman"/>
          <w:sz w:val="20"/>
          <w:szCs w:val="20"/>
        </w:rPr>
        <w:t>ПАО «</w:t>
      </w:r>
      <w:r w:rsidRPr="001528C9">
        <w:rPr>
          <w:rFonts w:ascii="Times New Roman" w:hAnsi="Times New Roman" w:cs="Times New Roman"/>
          <w:sz w:val="20"/>
          <w:szCs w:val="20"/>
        </w:rPr>
        <w:t>Сбербанк России</w:t>
      </w:r>
      <w:r w:rsidR="002B4EB0" w:rsidRPr="001528C9">
        <w:rPr>
          <w:rFonts w:ascii="Times New Roman" w:hAnsi="Times New Roman" w:cs="Times New Roman"/>
          <w:sz w:val="20"/>
          <w:szCs w:val="20"/>
        </w:rPr>
        <w:t>»</w:t>
      </w:r>
      <w:r w:rsidRPr="001528C9">
        <w:rPr>
          <w:rFonts w:ascii="Times New Roman" w:hAnsi="Times New Roman" w:cs="Times New Roman"/>
          <w:sz w:val="20"/>
          <w:szCs w:val="20"/>
        </w:rPr>
        <w:t xml:space="preserve"> </w:t>
      </w:r>
      <w:r w:rsidR="00223F4F" w:rsidRPr="001528C9">
        <w:rPr>
          <w:rFonts w:ascii="Times New Roman" w:hAnsi="Times New Roman" w:cs="Times New Roman"/>
          <w:sz w:val="20"/>
          <w:szCs w:val="20"/>
        </w:rPr>
        <w:t>–</w:t>
      </w:r>
      <w:r w:rsidRPr="001528C9">
        <w:rPr>
          <w:rFonts w:ascii="Times New Roman" w:hAnsi="Times New Roman" w:cs="Times New Roman"/>
          <w:sz w:val="20"/>
          <w:szCs w:val="20"/>
        </w:rPr>
        <w:t xml:space="preserve"> </w:t>
      </w:r>
      <w:r w:rsidR="00223F4F" w:rsidRPr="001528C9">
        <w:rPr>
          <w:rFonts w:ascii="Times New Roman" w:hAnsi="Times New Roman" w:cs="Times New Roman"/>
          <w:sz w:val="20"/>
          <w:szCs w:val="20"/>
        </w:rPr>
        <w:t>кредит на приобретение загородной недвижимости по</w:t>
      </w:r>
      <w:r w:rsidR="00F767AB" w:rsidRPr="001528C9">
        <w:rPr>
          <w:rFonts w:ascii="Times New Roman" w:hAnsi="Times New Roman" w:cs="Times New Roman"/>
          <w:sz w:val="20"/>
          <w:szCs w:val="20"/>
        </w:rPr>
        <w:t xml:space="preserve">д 9,5 % </w:t>
      </w:r>
      <w:proofErr w:type="gramStart"/>
      <w:r w:rsidR="00F767AB" w:rsidRPr="001528C9">
        <w:rPr>
          <w:rFonts w:ascii="Times New Roman" w:hAnsi="Times New Roman" w:cs="Times New Roman"/>
          <w:sz w:val="20"/>
          <w:szCs w:val="20"/>
        </w:rPr>
        <w:t>годовых</w:t>
      </w:r>
      <w:proofErr w:type="gramEnd"/>
      <w:r w:rsidR="00F767AB" w:rsidRPr="001528C9">
        <w:rPr>
          <w:rFonts w:ascii="Times New Roman" w:hAnsi="Times New Roman" w:cs="Times New Roman"/>
          <w:sz w:val="20"/>
          <w:szCs w:val="20"/>
        </w:rPr>
        <w:t xml:space="preserve">. Валюта кредита </w:t>
      </w:r>
      <w:r w:rsidR="00F767AB" w:rsidRPr="001528C9">
        <w:rPr>
          <w:rFonts w:ascii="Times New Roman" w:hAnsi="Times New Roman" w:cs="Times New Roman"/>
          <w:sz w:val="20"/>
          <w:szCs w:val="20"/>
        </w:rPr>
        <w:sym w:font="Symbol" w:char="F02D"/>
      </w:r>
      <w:r w:rsidR="00223F4F" w:rsidRPr="001528C9">
        <w:rPr>
          <w:rFonts w:ascii="Times New Roman" w:hAnsi="Times New Roman" w:cs="Times New Roman"/>
          <w:sz w:val="20"/>
          <w:szCs w:val="20"/>
        </w:rPr>
        <w:t xml:space="preserve"> рубли. Срок кредита – до 30 лет. Сумма кредита не должна превышать 75% </w:t>
      </w:r>
      <w:r w:rsidR="00C45BE6" w:rsidRPr="001528C9">
        <w:rPr>
          <w:rFonts w:ascii="Times New Roman" w:hAnsi="Times New Roman" w:cs="Times New Roman"/>
          <w:sz w:val="20"/>
          <w:szCs w:val="20"/>
        </w:rPr>
        <w:t xml:space="preserve">от </w:t>
      </w:r>
      <w:r w:rsidR="00223F4F" w:rsidRPr="001528C9">
        <w:rPr>
          <w:rFonts w:ascii="Times New Roman" w:hAnsi="Times New Roman" w:cs="Times New Roman"/>
          <w:sz w:val="20"/>
          <w:szCs w:val="20"/>
        </w:rPr>
        <w:t>договорной стоимости кредитуем</w:t>
      </w:r>
      <w:r w:rsidR="00F767AB" w:rsidRPr="001528C9">
        <w:rPr>
          <w:rFonts w:ascii="Times New Roman" w:hAnsi="Times New Roman" w:cs="Times New Roman"/>
          <w:sz w:val="20"/>
          <w:szCs w:val="20"/>
        </w:rPr>
        <w:t>ой недвижимости</w:t>
      </w:r>
      <w:r w:rsidR="00223F4F" w:rsidRPr="001528C9">
        <w:rPr>
          <w:rFonts w:ascii="Times New Roman" w:hAnsi="Times New Roman" w:cs="Times New Roman"/>
          <w:sz w:val="20"/>
          <w:szCs w:val="20"/>
        </w:rPr>
        <w:t xml:space="preserve"> и 75% </w:t>
      </w:r>
      <w:r w:rsidR="00C45BE6" w:rsidRPr="001528C9">
        <w:rPr>
          <w:rFonts w:ascii="Times New Roman" w:hAnsi="Times New Roman" w:cs="Times New Roman"/>
          <w:sz w:val="20"/>
          <w:szCs w:val="20"/>
        </w:rPr>
        <w:t xml:space="preserve">от </w:t>
      </w:r>
      <w:r w:rsidR="00223F4F" w:rsidRPr="001528C9">
        <w:rPr>
          <w:rFonts w:ascii="Times New Roman" w:hAnsi="Times New Roman" w:cs="Times New Roman"/>
          <w:sz w:val="20"/>
          <w:szCs w:val="20"/>
        </w:rPr>
        <w:t>о</w:t>
      </w:r>
      <w:r w:rsidR="00C45BE6" w:rsidRPr="001528C9">
        <w:rPr>
          <w:rFonts w:ascii="Times New Roman" w:hAnsi="Times New Roman" w:cs="Times New Roman"/>
          <w:sz w:val="20"/>
          <w:szCs w:val="20"/>
        </w:rPr>
        <w:t>ценочной стоимости кредитуемого </w:t>
      </w:r>
      <w:r w:rsidR="00223F4F" w:rsidRPr="001528C9">
        <w:rPr>
          <w:rFonts w:ascii="Times New Roman" w:hAnsi="Times New Roman" w:cs="Times New Roman"/>
          <w:sz w:val="20"/>
          <w:szCs w:val="20"/>
        </w:rPr>
        <w:t xml:space="preserve">объекта недвижимости. Первоначальный взнос составляет от 25 %. </w:t>
      </w:r>
      <w:r w:rsidR="008D2950" w:rsidRPr="001528C9">
        <w:rPr>
          <w:rFonts w:ascii="Times New Roman" w:hAnsi="Times New Roman" w:cs="Times New Roman"/>
          <w:sz w:val="20"/>
          <w:szCs w:val="20"/>
        </w:rPr>
        <w:t>В качестве обеспечения по кредиту выступает залог кредитуемого или иного жилого помещения. Страхование передаваемого в залог имущества обязательно.</w:t>
      </w:r>
    </w:p>
    <w:p w:rsidR="008D2950" w:rsidRPr="001528C9" w:rsidRDefault="008D2950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>Специально для военнослужащих предлагается ипотека под 9,5 % годовых со сроком кредито</w:t>
      </w:r>
      <w:r w:rsidR="00274212" w:rsidRPr="001528C9">
        <w:rPr>
          <w:rFonts w:ascii="Times New Roman" w:hAnsi="Times New Roman" w:cs="Times New Roman"/>
          <w:sz w:val="20"/>
          <w:szCs w:val="20"/>
        </w:rPr>
        <w:t xml:space="preserve">вания до 20 лет. Валюта кредита </w:t>
      </w:r>
      <w:r w:rsidR="00274212" w:rsidRPr="001528C9">
        <w:rPr>
          <w:rFonts w:ascii="Times New Roman" w:hAnsi="Times New Roman" w:cs="Times New Roman"/>
          <w:sz w:val="20"/>
          <w:szCs w:val="20"/>
        </w:rPr>
        <w:sym w:font="Symbol" w:char="F02D"/>
      </w:r>
      <w:r w:rsidRPr="001528C9">
        <w:rPr>
          <w:rFonts w:ascii="Times New Roman" w:hAnsi="Times New Roman" w:cs="Times New Roman"/>
          <w:sz w:val="20"/>
          <w:szCs w:val="20"/>
        </w:rPr>
        <w:t xml:space="preserve"> рубли РФ. Сумма кредита должна быть выше  80% договорной стоимости кредитуемого жилого помещения; 80% оценочной стоимости кредитуемого жилого помещения, указанной в экспертном заключении. В качестве обеспечения по кредиту выступает залог кредитуемого жилого помещения. Страхование передаваемого в залог имущества обязательно.</w:t>
      </w:r>
    </w:p>
    <w:p w:rsidR="00C165F2" w:rsidRPr="001528C9" w:rsidRDefault="002B4EB0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>ПАО «</w:t>
      </w:r>
      <w:r w:rsidR="008B5CE9" w:rsidRPr="001528C9">
        <w:rPr>
          <w:rFonts w:ascii="Times New Roman" w:hAnsi="Times New Roman" w:cs="Times New Roman"/>
          <w:sz w:val="20"/>
          <w:szCs w:val="20"/>
        </w:rPr>
        <w:t>Сбербанк России</w:t>
      </w:r>
      <w:r w:rsidRPr="001528C9">
        <w:rPr>
          <w:rFonts w:ascii="Times New Roman" w:hAnsi="Times New Roman" w:cs="Times New Roman"/>
          <w:sz w:val="20"/>
          <w:szCs w:val="20"/>
        </w:rPr>
        <w:t>»</w:t>
      </w:r>
      <w:r w:rsidR="008B5CE9" w:rsidRPr="001528C9">
        <w:rPr>
          <w:rFonts w:ascii="Times New Roman" w:hAnsi="Times New Roman" w:cs="Times New Roman"/>
          <w:sz w:val="20"/>
          <w:szCs w:val="20"/>
        </w:rPr>
        <w:t xml:space="preserve"> предлагает такой продукт, как ипотека с использованием материнского капитала по ставке от 7,4 % </w:t>
      </w:r>
      <w:proofErr w:type="gramStart"/>
      <w:r w:rsidR="008B5CE9" w:rsidRPr="001528C9">
        <w:rPr>
          <w:rFonts w:ascii="Times New Roman" w:hAnsi="Times New Roman" w:cs="Times New Roman"/>
          <w:sz w:val="20"/>
          <w:szCs w:val="20"/>
        </w:rPr>
        <w:t>годовых</w:t>
      </w:r>
      <w:proofErr w:type="gramEnd"/>
      <w:r w:rsidR="008B5CE9" w:rsidRPr="001528C9">
        <w:rPr>
          <w:rFonts w:ascii="Times New Roman" w:hAnsi="Times New Roman" w:cs="Times New Roman"/>
          <w:sz w:val="20"/>
          <w:szCs w:val="20"/>
        </w:rPr>
        <w:t>. Валюта кредита – рубли. Жилое помещение, приобретаемое с использованием кредитных средств Банка, должно быть оформ</w:t>
      </w:r>
      <w:r w:rsidR="00C165F2" w:rsidRPr="001528C9">
        <w:rPr>
          <w:rFonts w:ascii="Times New Roman" w:hAnsi="Times New Roman" w:cs="Times New Roman"/>
          <w:sz w:val="20"/>
          <w:szCs w:val="20"/>
        </w:rPr>
        <w:t xml:space="preserve">лено в собственность заемщика, либо </w:t>
      </w:r>
      <w:r w:rsidR="008B5CE9" w:rsidRPr="001528C9">
        <w:rPr>
          <w:rFonts w:ascii="Times New Roman" w:hAnsi="Times New Roman" w:cs="Times New Roman"/>
          <w:sz w:val="20"/>
          <w:szCs w:val="20"/>
        </w:rPr>
        <w:t>общую долевую собственность супругов</w:t>
      </w:r>
      <w:proofErr w:type="gramStart"/>
      <w:r w:rsidR="00C165F2" w:rsidRPr="001528C9">
        <w:rPr>
          <w:rFonts w:ascii="Times New Roman" w:hAnsi="Times New Roman" w:cs="Times New Roman"/>
          <w:sz w:val="20"/>
          <w:szCs w:val="20"/>
        </w:rPr>
        <w:t xml:space="preserve"> </w:t>
      </w:r>
      <w:r w:rsidR="008B5CE9" w:rsidRPr="001528C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8B5CE9" w:rsidRPr="001528C9">
        <w:rPr>
          <w:rFonts w:ascii="Times New Roman" w:hAnsi="Times New Roman" w:cs="Times New Roman"/>
          <w:sz w:val="20"/>
          <w:szCs w:val="20"/>
        </w:rPr>
        <w:t xml:space="preserve"> Клиенты, </w:t>
      </w:r>
      <w:r w:rsidR="00C165F2" w:rsidRPr="001528C9">
        <w:rPr>
          <w:rFonts w:ascii="Times New Roman" w:hAnsi="Times New Roman" w:cs="Times New Roman"/>
          <w:sz w:val="20"/>
          <w:szCs w:val="20"/>
        </w:rPr>
        <w:t>которые не получают</w:t>
      </w:r>
      <w:r w:rsidR="008B5CE9" w:rsidRPr="001528C9">
        <w:rPr>
          <w:rFonts w:ascii="Times New Roman" w:hAnsi="Times New Roman" w:cs="Times New Roman"/>
          <w:sz w:val="20"/>
          <w:szCs w:val="20"/>
        </w:rPr>
        <w:t xml:space="preserve"> заработную плату на счет, открытый в Сбербанке, должны предоставить документы, подтверждающие финансовое состояние и трудовую занятость</w:t>
      </w:r>
      <w:r w:rsidR="00C165F2" w:rsidRPr="001528C9">
        <w:rPr>
          <w:rFonts w:ascii="Times New Roman" w:hAnsi="Times New Roman" w:cs="Times New Roman"/>
          <w:sz w:val="20"/>
          <w:szCs w:val="20"/>
        </w:rPr>
        <w:t xml:space="preserve"> при оформлении заявки на кредит</w:t>
      </w:r>
      <w:r w:rsidR="008B5CE9" w:rsidRPr="001528C9">
        <w:rPr>
          <w:rFonts w:ascii="Times New Roman" w:hAnsi="Times New Roman" w:cs="Times New Roman"/>
          <w:sz w:val="20"/>
          <w:szCs w:val="20"/>
        </w:rPr>
        <w:t xml:space="preserve">. </w:t>
      </w:r>
      <w:r w:rsidR="00C165F2" w:rsidRPr="001528C9">
        <w:rPr>
          <w:rFonts w:ascii="Times New Roman" w:hAnsi="Times New Roman" w:cs="Times New Roman"/>
          <w:sz w:val="20"/>
          <w:szCs w:val="20"/>
        </w:rPr>
        <w:t>Страхование передаваемого в залог имущества обязательно.</w:t>
      </w:r>
    </w:p>
    <w:p w:rsidR="00E86AB0" w:rsidRPr="001528C9" w:rsidRDefault="008B5CE9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 xml:space="preserve">Последнее рассматриваемое направление ипотечного кредитования Сбербанка </w:t>
      </w:r>
      <w:r w:rsidR="00E86AB0" w:rsidRPr="001528C9">
        <w:rPr>
          <w:rFonts w:ascii="Times New Roman" w:hAnsi="Times New Roman" w:cs="Times New Roman"/>
          <w:sz w:val="20"/>
          <w:szCs w:val="20"/>
        </w:rPr>
        <w:t>–</w:t>
      </w:r>
      <w:r w:rsidRPr="001528C9">
        <w:rPr>
          <w:rFonts w:ascii="Times New Roman" w:hAnsi="Times New Roman" w:cs="Times New Roman"/>
          <w:sz w:val="20"/>
          <w:szCs w:val="20"/>
        </w:rPr>
        <w:t xml:space="preserve"> </w:t>
      </w:r>
      <w:r w:rsidR="00E86AB0" w:rsidRPr="001528C9">
        <w:rPr>
          <w:rFonts w:ascii="Times New Roman" w:hAnsi="Times New Roman" w:cs="Times New Roman"/>
          <w:sz w:val="20"/>
          <w:szCs w:val="20"/>
        </w:rPr>
        <w:t xml:space="preserve">ипотека на приобретение строящегося жилья или жилья в готовой новостройке у компании-продавца по ставке от 7,4 % </w:t>
      </w:r>
      <w:proofErr w:type="gramStart"/>
      <w:r w:rsidR="00E86AB0" w:rsidRPr="001528C9">
        <w:rPr>
          <w:rFonts w:ascii="Times New Roman" w:hAnsi="Times New Roman" w:cs="Times New Roman"/>
          <w:sz w:val="20"/>
          <w:szCs w:val="20"/>
        </w:rPr>
        <w:t>годовых</w:t>
      </w:r>
      <w:proofErr w:type="gramEnd"/>
      <w:r w:rsidR="00E86AB0" w:rsidRPr="001528C9">
        <w:rPr>
          <w:rFonts w:ascii="Times New Roman" w:hAnsi="Times New Roman" w:cs="Times New Roman"/>
          <w:sz w:val="20"/>
          <w:szCs w:val="20"/>
        </w:rPr>
        <w:t>. Валюта баланса – рубли РФ. Минимальная сумма кредита – 300 000 рублей. Максимальная сумма кредита не должна превышать  85% договорной стоимости кредитуемого</w:t>
      </w:r>
      <w:r w:rsidR="000D6639" w:rsidRPr="001528C9">
        <w:rPr>
          <w:rFonts w:ascii="Times New Roman" w:hAnsi="Times New Roman" w:cs="Times New Roman"/>
          <w:sz w:val="20"/>
          <w:szCs w:val="20"/>
        </w:rPr>
        <w:t xml:space="preserve"> жилого помещения либо</w:t>
      </w:r>
      <w:r w:rsidR="00E86AB0" w:rsidRPr="001528C9">
        <w:rPr>
          <w:rFonts w:ascii="Times New Roman" w:hAnsi="Times New Roman" w:cs="Times New Roman"/>
          <w:sz w:val="20"/>
          <w:szCs w:val="20"/>
        </w:rPr>
        <w:t xml:space="preserve"> </w:t>
      </w:r>
      <w:r w:rsidR="000D6639" w:rsidRPr="001528C9">
        <w:rPr>
          <w:rFonts w:ascii="Times New Roman" w:hAnsi="Times New Roman" w:cs="Times New Roman"/>
          <w:sz w:val="20"/>
          <w:szCs w:val="20"/>
        </w:rPr>
        <w:t xml:space="preserve">85% оценочной стоимости </w:t>
      </w:r>
      <w:r w:rsidR="000D6639" w:rsidRPr="001528C9">
        <w:rPr>
          <w:rFonts w:ascii="Times New Roman" w:hAnsi="Times New Roman" w:cs="Times New Roman"/>
          <w:sz w:val="20"/>
          <w:szCs w:val="20"/>
        </w:rPr>
        <w:lastRenderedPageBreak/>
        <w:t>другого оформляемого в залог</w:t>
      </w:r>
      <w:r w:rsidR="00E86AB0" w:rsidRPr="001528C9">
        <w:rPr>
          <w:rFonts w:ascii="Times New Roman" w:hAnsi="Times New Roman" w:cs="Times New Roman"/>
          <w:sz w:val="20"/>
          <w:szCs w:val="20"/>
        </w:rPr>
        <w:t xml:space="preserve"> объекта недвижимости. Срок кредита – до 30 лет либо до 7 лет в рамках программы субсидирования ставки застройщиками. Первоначальный взнос составляет не менее 15 % и не менее 50 % для </w:t>
      </w:r>
      <w:r w:rsidR="000D6639" w:rsidRPr="001528C9">
        <w:rPr>
          <w:rFonts w:ascii="Times New Roman" w:hAnsi="Times New Roman" w:cs="Times New Roman"/>
          <w:sz w:val="20"/>
          <w:szCs w:val="20"/>
        </w:rPr>
        <w:t>клиентов, которые</w:t>
      </w:r>
      <w:r w:rsidR="00E86AB0" w:rsidRPr="001528C9">
        <w:rPr>
          <w:rFonts w:ascii="Times New Roman" w:hAnsi="Times New Roman" w:cs="Times New Roman"/>
          <w:sz w:val="20"/>
          <w:szCs w:val="20"/>
        </w:rPr>
        <w:t xml:space="preserve"> </w:t>
      </w:r>
      <w:r w:rsidR="000D6639" w:rsidRPr="001528C9">
        <w:rPr>
          <w:rFonts w:ascii="Times New Roman" w:hAnsi="Times New Roman" w:cs="Times New Roman"/>
          <w:sz w:val="20"/>
          <w:szCs w:val="20"/>
        </w:rPr>
        <w:t xml:space="preserve">не предоставили </w:t>
      </w:r>
      <w:r w:rsidR="00E86AB0" w:rsidRPr="001528C9">
        <w:rPr>
          <w:rFonts w:ascii="Times New Roman" w:hAnsi="Times New Roman" w:cs="Times New Roman"/>
          <w:sz w:val="20"/>
          <w:szCs w:val="20"/>
        </w:rPr>
        <w:t>подтверждение дохода и занятости в случае, когда приобретаемый объект недвижимости построен с участием кредитных средств Банка. В качестве обеспечения по кредиту выступает залог  кредитуем</w:t>
      </w:r>
      <w:r w:rsidR="00575618" w:rsidRPr="001528C9">
        <w:rPr>
          <w:rFonts w:ascii="Times New Roman" w:hAnsi="Times New Roman" w:cs="Times New Roman"/>
          <w:sz w:val="20"/>
          <w:szCs w:val="20"/>
        </w:rPr>
        <w:t>ой недвижимости</w:t>
      </w:r>
      <w:r w:rsidR="00E86AB0" w:rsidRPr="001528C9">
        <w:rPr>
          <w:rFonts w:ascii="Times New Roman" w:hAnsi="Times New Roman" w:cs="Times New Roman"/>
          <w:sz w:val="20"/>
          <w:szCs w:val="20"/>
        </w:rPr>
        <w:t xml:space="preserve"> или </w:t>
      </w:r>
      <w:r w:rsidR="000D6639" w:rsidRPr="001528C9">
        <w:rPr>
          <w:rFonts w:ascii="Times New Roman" w:hAnsi="Times New Roman" w:cs="Times New Roman"/>
          <w:sz w:val="20"/>
          <w:szCs w:val="20"/>
        </w:rPr>
        <w:t xml:space="preserve">другого </w:t>
      </w:r>
      <w:r w:rsidR="00E86AB0" w:rsidRPr="001528C9">
        <w:rPr>
          <w:rFonts w:ascii="Times New Roman" w:hAnsi="Times New Roman" w:cs="Times New Roman"/>
          <w:sz w:val="20"/>
          <w:szCs w:val="20"/>
        </w:rPr>
        <w:t>жилого помещения</w:t>
      </w:r>
      <w:r w:rsidR="000D6639" w:rsidRPr="001528C9">
        <w:rPr>
          <w:rFonts w:ascii="Times New Roman" w:hAnsi="Times New Roman" w:cs="Times New Roman"/>
          <w:sz w:val="20"/>
          <w:szCs w:val="20"/>
        </w:rPr>
        <w:t>. До</w:t>
      </w:r>
      <w:r w:rsidR="00E86AB0" w:rsidRPr="001528C9">
        <w:rPr>
          <w:rFonts w:ascii="Times New Roman" w:hAnsi="Times New Roman" w:cs="Times New Roman"/>
          <w:sz w:val="20"/>
          <w:szCs w:val="20"/>
        </w:rPr>
        <w:t xml:space="preserve"> оформления </w:t>
      </w:r>
      <w:r w:rsidR="00575618" w:rsidRPr="001528C9">
        <w:rPr>
          <w:rFonts w:ascii="Times New Roman" w:hAnsi="Times New Roman" w:cs="Times New Roman"/>
          <w:sz w:val="20"/>
          <w:szCs w:val="20"/>
        </w:rPr>
        <w:t xml:space="preserve">ипотеки </w:t>
      </w:r>
      <w:r w:rsidR="000D6639" w:rsidRPr="001528C9">
        <w:rPr>
          <w:rFonts w:ascii="Times New Roman" w:hAnsi="Times New Roman" w:cs="Times New Roman"/>
          <w:sz w:val="20"/>
          <w:szCs w:val="20"/>
        </w:rPr>
        <w:t xml:space="preserve">необходимо </w:t>
      </w:r>
      <w:r w:rsidR="00E86AB0" w:rsidRPr="001528C9">
        <w:rPr>
          <w:rFonts w:ascii="Times New Roman" w:hAnsi="Times New Roman" w:cs="Times New Roman"/>
          <w:sz w:val="20"/>
          <w:szCs w:val="20"/>
        </w:rPr>
        <w:t>оформление залога имущественных прав либо поручительства физических лиц. </w:t>
      </w:r>
      <w:r w:rsidR="00A86D25" w:rsidRPr="001528C9">
        <w:rPr>
          <w:rFonts w:ascii="Times New Roman" w:hAnsi="Times New Roman" w:cs="Times New Roman"/>
          <w:sz w:val="20"/>
          <w:szCs w:val="20"/>
        </w:rPr>
        <w:t>При оформлении</w:t>
      </w:r>
      <w:r w:rsidR="00E86AB0" w:rsidRPr="001528C9">
        <w:rPr>
          <w:rFonts w:ascii="Times New Roman" w:hAnsi="Times New Roman" w:cs="Times New Roman"/>
          <w:sz w:val="20"/>
          <w:szCs w:val="20"/>
        </w:rPr>
        <w:t xml:space="preserve"> в обеспечение по кредиту залога жилого дома, </w:t>
      </w:r>
      <w:r w:rsidR="00A86D25" w:rsidRPr="001528C9">
        <w:rPr>
          <w:rFonts w:ascii="Times New Roman" w:hAnsi="Times New Roman" w:cs="Times New Roman"/>
          <w:sz w:val="20"/>
          <w:szCs w:val="20"/>
        </w:rPr>
        <w:t>который расположен</w:t>
      </w:r>
      <w:r w:rsidR="00E86AB0" w:rsidRPr="001528C9">
        <w:rPr>
          <w:rFonts w:ascii="Times New Roman" w:hAnsi="Times New Roman" w:cs="Times New Roman"/>
          <w:sz w:val="20"/>
          <w:szCs w:val="20"/>
        </w:rPr>
        <w:t xml:space="preserve"> </w:t>
      </w:r>
      <w:r w:rsidR="00A86D25" w:rsidRPr="001528C9">
        <w:rPr>
          <w:rFonts w:ascii="Times New Roman" w:hAnsi="Times New Roman" w:cs="Times New Roman"/>
          <w:sz w:val="20"/>
          <w:szCs w:val="20"/>
        </w:rPr>
        <w:t>на земельном участке, требуется </w:t>
      </w:r>
      <w:r w:rsidR="00A16E24" w:rsidRPr="001528C9">
        <w:rPr>
          <w:rFonts w:ascii="Times New Roman" w:hAnsi="Times New Roman" w:cs="Times New Roman"/>
          <w:sz w:val="20"/>
          <w:szCs w:val="20"/>
        </w:rPr>
        <w:t>оформление залога по нему</w:t>
      </w:r>
      <w:r w:rsidR="00E86AB0" w:rsidRPr="001528C9">
        <w:rPr>
          <w:rFonts w:ascii="Times New Roman" w:hAnsi="Times New Roman" w:cs="Times New Roman"/>
          <w:sz w:val="20"/>
          <w:szCs w:val="20"/>
        </w:rPr>
        <w:t>. Страхование передаваемого в залог имущества обязательно</w:t>
      </w:r>
      <w:r w:rsidR="00357088" w:rsidRPr="001528C9">
        <w:rPr>
          <w:rFonts w:ascii="Times New Roman" w:hAnsi="Times New Roman" w:cs="Times New Roman"/>
          <w:sz w:val="20"/>
          <w:szCs w:val="20"/>
        </w:rPr>
        <w:t xml:space="preserve"> [</w:t>
      </w:r>
      <w:r w:rsidR="00E306F2">
        <w:rPr>
          <w:rFonts w:ascii="Times New Roman" w:hAnsi="Times New Roman" w:cs="Times New Roman"/>
          <w:sz w:val="20"/>
          <w:szCs w:val="20"/>
        </w:rPr>
        <w:t>8</w:t>
      </w:r>
      <w:r w:rsidR="00357088" w:rsidRPr="001528C9">
        <w:rPr>
          <w:rFonts w:ascii="Times New Roman" w:hAnsi="Times New Roman" w:cs="Times New Roman"/>
          <w:sz w:val="20"/>
          <w:szCs w:val="20"/>
        </w:rPr>
        <w:t>]</w:t>
      </w:r>
      <w:r w:rsidR="00E86AB0" w:rsidRPr="001528C9">
        <w:rPr>
          <w:rFonts w:ascii="Times New Roman" w:hAnsi="Times New Roman" w:cs="Times New Roman"/>
          <w:sz w:val="20"/>
          <w:szCs w:val="20"/>
        </w:rPr>
        <w:t>.</w:t>
      </w:r>
    </w:p>
    <w:p w:rsidR="00643214" w:rsidRPr="001528C9" w:rsidRDefault="002B4EB0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i/>
          <w:sz w:val="20"/>
          <w:szCs w:val="20"/>
        </w:rPr>
        <w:t>АО «</w:t>
      </w:r>
      <w:r w:rsidR="00E86AB0" w:rsidRPr="001528C9">
        <w:rPr>
          <w:rFonts w:ascii="Times New Roman" w:hAnsi="Times New Roman" w:cs="Times New Roman"/>
          <w:i/>
          <w:sz w:val="20"/>
          <w:szCs w:val="20"/>
        </w:rPr>
        <w:t>Г</w:t>
      </w:r>
      <w:r w:rsidR="00BA4A10" w:rsidRPr="001528C9">
        <w:rPr>
          <w:rFonts w:ascii="Times New Roman" w:hAnsi="Times New Roman" w:cs="Times New Roman"/>
          <w:i/>
          <w:sz w:val="20"/>
          <w:szCs w:val="20"/>
        </w:rPr>
        <w:t>азпромбанк</w:t>
      </w:r>
      <w:r w:rsidRPr="001528C9">
        <w:rPr>
          <w:rFonts w:ascii="Times New Roman" w:hAnsi="Times New Roman" w:cs="Times New Roman"/>
          <w:i/>
          <w:sz w:val="20"/>
          <w:szCs w:val="20"/>
        </w:rPr>
        <w:t>»</w:t>
      </w:r>
      <w:r w:rsidR="00BA4A10" w:rsidRPr="001528C9">
        <w:rPr>
          <w:rFonts w:ascii="Times New Roman" w:hAnsi="Times New Roman" w:cs="Times New Roman"/>
          <w:sz w:val="20"/>
          <w:szCs w:val="20"/>
        </w:rPr>
        <w:t xml:space="preserve"> предлагает следующие направления ипотечного кредитования. Ипотека на приобретение квартиры в строящемся жилом доме по ставке 9,5 % годовых на срок от 1 года до 30 лет. Первоначальный взн</w:t>
      </w:r>
      <w:r w:rsidR="00A86D25" w:rsidRPr="001528C9">
        <w:rPr>
          <w:rFonts w:ascii="Times New Roman" w:hAnsi="Times New Roman" w:cs="Times New Roman"/>
          <w:sz w:val="20"/>
          <w:szCs w:val="20"/>
        </w:rPr>
        <w:t xml:space="preserve">ос – от 10 % , валюта кредита  </w:t>
      </w:r>
      <w:r w:rsidR="00A86D25" w:rsidRPr="001528C9">
        <w:rPr>
          <w:rFonts w:ascii="Times New Roman" w:hAnsi="Times New Roman" w:cs="Times New Roman"/>
          <w:sz w:val="20"/>
          <w:szCs w:val="20"/>
        </w:rPr>
        <w:sym w:font="Symbol" w:char="F02D"/>
      </w:r>
      <w:r w:rsidR="00BA4A10" w:rsidRPr="001528C9">
        <w:rPr>
          <w:rFonts w:ascii="Times New Roman" w:hAnsi="Times New Roman" w:cs="Times New Roman"/>
          <w:sz w:val="20"/>
          <w:szCs w:val="20"/>
        </w:rPr>
        <w:t xml:space="preserve"> руб</w:t>
      </w:r>
      <w:r w:rsidR="00A86D25" w:rsidRPr="001528C9">
        <w:rPr>
          <w:rFonts w:ascii="Times New Roman" w:hAnsi="Times New Roman" w:cs="Times New Roman"/>
          <w:sz w:val="20"/>
          <w:szCs w:val="20"/>
        </w:rPr>
        <w:t xml:space="preserve">ли. Максимальная сумма кредита </w:t>
      </w:r>
      <w:r w:rsidR="00A86D25" w:rsidRPr="001528C9">
        <w:rPr>
          <w:rFonts w:ascii="Times New Roman" w:hAnsi="Times New Roman" w:cs="Times New Roman"/>
          <w:sz w:val="20"/>
          <w:szCs w:val="20"/>
        </w:rPr>
        <w:sym w:font="Symbol" w:char="F02D"/>
      </w:r>
      <w:r w:rsidR="00BA4A10" w:rsidRPr="001528C9">
        <w:rPr>
          <w:rFonts w:ascii="Times New Roman" w:hAnsi="Times New Roman" w:cs="Times New Roman"/>
          <w:sz w:val="20"/>
          <w:szCs w:val="20"/>
        </w:rPr>
        <w:t xml:space="preserve"> 60 млн</w:t>
      </w:r>
      <w:r w:rsidR="00A16E24" w:rsidRPr="001528C9">
        <w:rPr>
          <w:rFonts w:ascii="Times New Roman" w:hAnsi="Times New Roman" w:cs="Times New Roman"/>
          <w:sz w:val="20"/>
          <w:szCs w:val="20"/>
        </w:rPr>
        <w:t>.</w:t>
      </w:r>
      <w:r w:rsidR="00BA4A10" w:rsidRPr="001528C9">
        <w:rPr>
          <w:rFonts w:ascii="Times New Roman" w:hAnsi="Times New Roman" w:cs="Times New Roman"/>
          <w:sz w:val="20"/>
          <w:szCs w:val="20"/>
        </w:rPr>
        <w:t xml:space="preserve"> руб. – при приобретении квартир, расположенных в Москве и Санкт-Петербурге</w:t>
      </w:r>
      <w:proofErr w:type="gramStart"/>
      <w:r w:rsidR="00BA4A10" w:rsidRPr="001528C9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="00BA4A10" w:rsidRPr="001528C9">
        <w:rPr>
          <w:rFonts w:ascii="Times New Roman" w:hAnsi="Times New Roman" w:cs="Times New Roman"/>
          <w:sz w:val="20"/>
          <w:szCs w:val="20"/>
        </w:rPr>
        <w:t xml:space="preserve"> 45 млн</w:t>
      </w:r>
      <w:r w:rsidR="00A16E24" w:rsidRPr="001528C9">
        <w:rPr>
          <w:rFonts w:ascii="Times New Roman" w:hAnsi="Times New Roman" w:cs="Times New Roman"/>
          <w:sz w:val="20"/>
          <w:szCs w:val="20"/>
        </w:rPr>
        <w:t>.</w:t>
      </w:r>
      <w:r w:rsidR="00BA4A10" w:rsidRPr="001528C9">
        <w:rPr>
          <w:rFonts w:ascii="Times New Roman" w:hAnsi="Times New Roman" w:cs="Times New Roman"/>
          <w:sz w:val="20"/>
          <w:szCs w:val="20"/>
        </w:rPr>
        <w:t xml:space="preserve"> руб. –</w:t>
      </w:r>
      <w:r w:rsidR="00A86D25" w:rsidRPr="001528C9">
        <w:rPr>
          <w:rFonts w:ascii="Times New Roman" w:hAnsi="Times New Roman" w:cs="Times New Roman"/>
          <w:sz w:val="20"/>
          <w:szCs w:val="20"/>
        </w:rPr>
        <w:t xml:space="preserve"> </w:t>
      </w:r>
      <w:r w:rsidR="00BA4A10" w:rsidRPr="001528C9">
        <w:rPr>
          <w:rFonts w:ascii="Times New Roman" w:hAnsi="Times New Roman" w:cs="Times New Roman"/>
          <w:sz w:val="20"/>
          <w:szCs w:val="20"/>
        </w:rPr>
        <w:t xml:space="preserve">квартир, расположенных в </w:t>
      </w:r>
      <w:r w:rsidR="00A86D25" w:rsidRPr="001528C9">
        <w:rPr>
          <w:rFonts w:ascii="Times New Roman" w:hAnsi="Times New Roman" w:cs="Times New Roman"/>
          <w:sz w:val="20"/>
          <w:szCs w:val="20"/>
        </w:rPr>
        <w:t xml:space="preserve">других </w:t>
      </w:r>
      <w:r w:rsidR="00BA4A10" w:rsidRPr="001528C9">
        <w:rPr>
          <w:rFonts w:ascii="Times New Roman" w:hAnsi="Times New Roman" w:cs="Times New Roman"/>
          <w:sz w:val="20"/>
          <w:szCs w:val="20"/>
        </w:rPr>
        <w:t>субъектах Р</w:t>
      </w:r>
      <w:r w:rsidR="00A86D25" w:rsidRPr="001528C9">
        <w:rPr>
          <w:rFonts w:ascii="Times New Roman" w:hAnsi="Times New Roman" w:cs="Times New Roman"/>
          <w:sz w:val="20"/>
          <w:szCs w:val="20"/>
        </w:rPr>
        <w:t xml:space="preserve">оссийской </w:t>
      </w:r>
      <w:r w:rsidR="00BA4A10" w:rsidRPr="001528C9">
        <w:rPr>
          <w:rFonts w:ascii="Times New Roman" w:hAnsi="Times New Roman" w:cs="Times New Roman"/>
          <w:sz w:val="20"/>
          <w:szCs w:val="20"/>
        </w:rPr>
        <w:t>Ф</w:t>
      </w:r>
      <w:r w:rsidR="00A86D25" w:rsidRPr="001528C9">
        <w:rPr>
          <w:rFonts w:ascii="Times New Roman" w:hAnsi="Times New Roman" w:cs="Times New Roman"/>
          <w:sz w:val="20"/>
          <w:szCs w:val="20"/>
        </w:rPr>
        <w:t>едерации</w:t>
      </w:r>
      <w:r w:rsidR="00BA4A10" w:rsidRPr="001528C9">
        <w:rPr>
          <w:rFonts w:ascii="Times New Roman" w:hAnsi="Times New Roman" w:cs="Times New Roman"/>
          <w:sz w:val="20"/>
          <w:szCs w:val="20"/>
        </w:rPr>
        <w:t xml:space="preserve">; </w:t>
      </w:r>
      <w:r w:rsidR="00A86D25" w:rsidRPr="001528C9">
        <w:rPr>
          <w:rFonts w:ascii="Times New Roman" w:hAnsi="Times New Roman" w:cs="Times New Roman"/>
          <w:sz w:val="20"/>
          <w:szCs w:val="20"/>
        </w:rPr>
        <w:t>10 млн</w:t>
      </w:r>
      <w:r w:rsidR="00A16E24" w:rsidRPr="001528C9">
        <w:rPr>
          <w:rFonts w:ascii="Times New Roman" w:hAnsi="Times New Roman" w:cs="Times New Roman"/>
          <w:sz w:val="20"/>
          <w:szCs w:val="20"/>
        </w:rPr>
        <w:t>.</w:t>
      </w:r>
      <w:r w:rsidR="00A86D25" w:rsidRPr="001528C9">
        <w:rPr>
          <w:rFonts w:ascii="Times New Roman" w:hAnsi="Times New Roman" w:cs="Times New Roman"/>
          <w:sz w:val="20"/>
          <w:szCs w:val="20"/>
        </w:rPr>
        <w:t xml:space="preserve"> руб. </w:t>
      </w:r>
      <w:r w:rsidR="00A86D25" w:rsidRPr="001528C9">
        <w:rPr>
          <w:rFonts w:ascii="Times New Roman" w:hAnsi="Times New Roman" w:cs="Times New Roman"/>
          <w:sz w:val="20"/>
          <w:szCs w:val="20"/>
        </w:rPr>
        <w:sym w:font="Symbol" w:char="F02D"/>
      </w:r>
      <w:r w:rsidR="00BA4A10" w:rsidRPr="001528C9">
        <w:rPr>
          <w:rFonts w:ascii="Times New Roman" w:hAnsi="Times New Roman" w:cs="Times New Roman"/>
          <w:sz w:val="20"/>
          <w:szCs w:val="20"/>
        </w:rPr>
        <w:t xml:space="preserve"> </w:t>
      </w:r>
      <w:r w:rsidR="00A86D25" w:rsidRPr="001528C9">
        <w:rPr>
          <w:rFonts w:ascii="Times New Roman" w:hAnsi="Times New Roman" w:cs="Times New Roman"/>
          <w:sz w:val="20"/>
          <w:szCs w:val="20"/>
        </w:rPr>
        <w:t xml:space="preserve">максимальная сумма </w:t>
      </w:r>
      <w:r w:rsidR="00BA4A10" w:rsidRPr="001528C9">
        <w:rPr>
          <w:rFonts w:ascii="Times New Roman" w:hAnsi="Times New Roman" w:cs="Times New Roman"/>
          <w:sz w:val="20"/>
          <w:szCs w:val="20"/>
        </w:rPr>
        <w:t xml:space="preserve">для объектов, расположенных в Москве, Московской области, Санкт-Петербурге и Ленинградской области (при оформлении </w:t>
      </w:r>
      <w:r w:rsidR="001C529D" w:rsidRPr="001528C9">
        <w:rPr>
          <w:rFonts w:ascii="Times New Roman" w:hAnsi="Times New Roman" w:cs="Times New Roman"/>
          <w:sz w:val="20"/>
          <w:szCs w:val="20"/>
        </w:rPr>
        <w:t xml:space="preserve">жилищного </w:t>
      </w:r>
      <w:r w:rsidR="00BA4A10" w:rsidRPr="001528C9">
        <w:rPr>
          <w:rFonts w:ascii="Times New Roman" w:hAnsi="Times New Roman" w:cs="Times New Roman"/>
          <w:sz w:val="20"/>
          <w:szCs w:val="20"/>
        </w:rPr>
        <w:t xml:space="preserve">кредита по 2 документам); </w:t>
      </w:r>
      <w:r w:rsidR="00A86D25" w:rsidRPr="001528C9">
        <w:rPr>
          <w:rFonts w:ascii="Times New Roman" w:hAnsi="Times New Roman" w:cs="Times New Roman"/>
          <w:sz w:val="20"/>
          <w:szCs w:val="20"/>
        </w:rPr>
        <w:t>7 млн</w:t>
      </w:r>
      <w:r w:rsidR="00A16E24" w:rsidRPr="001528C9">
        <w:rPr>
          <w:rFonts w:ascii="Times New Roman" w:hAnsi="Times New Roman" w:cs="Times New Roman"/>
          <w:sz w:val="20"/>
          <w:szCs w:val="20"/>
        </w:rPr>
        <w:t>.</w:t>
      </w:r>
      <w:r w:rsidR="00A86D25" w:rsidRPr="001528C9">
        <w:rPr>
          <w:rFonts w:ascii="Times New Roman" w:hAnsi="Times New Roman" w:cs="Times New Roman"/>
          <w:sz w:val="20"/>
          <w:szCs w:val="20"/>
        </w:rPr>
        <w:t xml:space="preserve"> руб. </w:t>
      </w:r>
      <w:r w:rsidR="00A86D25" w:rsidRPr="001528C9">
        <w:rPr>
          <w:rFonts w:ascii="Times New Roman" w:hAnsi="Times New Roman" w:cs="Times New Roman"/>
          <w:sz w:val="20"/>
          <w:szCs w:val="20"/>
        </w:rPr>
        <w:sym w:font="Symbol" w:char="F02D"/>
      </w:r>
      <w:r w:rsidR="00BA4A10" w:rsidRPr="001528C9">
        <w:rPr>
          <w:rFonts w:ascii="Times New Roman" w:hAnsi="Times New Roman" w:cs="Times New Roman"/>
          <w:sz w:val="20"/>
          <w:szCs w:val="20"/>
        </w:rPr>
        <w:t xml:space="preserve"> для объектов, расположенных в остальных субъектах РФ (при оформлении </w:t>
      </w:r>
      <w:r w:rsidR="001C529D" w:rsidRPr="001528C9">
        <w:rPr>
          <w:rFonts w:ascii="Times New Roman" w:hAnsi="Times New Roman" w:cs="Times New Roman"/>
          <w:sz w:val="20"/>
          <w:szCs w:val="20"/>
        </w:rPr>
        <w:t xml:space="preserve">жилищного </w:t>
      </w:r>
      <w:r w:rsidR="00BA4A10" w:rsidRPr="001528C9">
        <w:rPr>
          <w:rFonts w:ascii="Times New Roman" w:hAnsi="Times New Roman" w:cs="Times New Roman"/>
          <w:sz w:val="20"/>
          <w:szCs w:val="20"/>
        </w:rPr>
        <w:t>кредита по 2 документам). Страхование передаваемого в залог имущества обязательно. Добровольным является личное страхование.</w:t>
      </w:r>
    </w:p>
    <w:p w:rsidR="00A86D25" w:rsidRPr="001528C9" w:rsidRDefault="00BA4A10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 xml:space="preserve">Следующее направление – ипотека на приобретение жилья на вторичном рынке по единой ставке 9,5 %. Срок кредита от 1 года до 30 лет. </w:t>
      </w:r>
    </w:p>
    <w:p w:rsidR="00BA4A10" w:rsidRPr="001528C9" w:rsidRDefault="00A86D25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>Максимальная сумма кредита составляет 60 млн</w:t>
      </w:r>
      <w:r w:rsidR="00A16E24" w:rsidRPr="001528C9">
        <w:rPr>
          <w:rFonts w:ascii="Times New Roman" w:hAnsi="Times New Roman" w:cs="Times New Roman"/>
          <w:sz w:val="20"/>
          <w:szCs w:val="20"/>
        </w:rPr>
        <w:t>.</w:t>
      </w:r>
      <w:r w:rsidRPr="001528C9">
        <w:rPr>
          <w:rFonts w:ascii="Times New Roman" w:hAnsi="Times New Roman" w:cs="Times New Roman"/>
          <w:sz w:val="20"/>
          <w:szCs w:val="20"/>
        </w:rPr>
        <w:t xml:space="preserve"> руб. – при приобретении квартир, расположенных в Москве и Санкт-Петербурге</w:t>
      </w:r>
      <w:proofErr w:type="gramStart"/>
      <w:r w:rsidRPr="001528C9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1528C9">
        <w:rPr>
          <w:rFonts w:ascii="Times New Roman" w:hAnsi="Times New Roman" w:cs="Times New Roman"/>
          <w:sz w:val="20"/>
          <w:szCs w:val="20"/>
        </w:rPr>
        <w:t xml:space="preserve"> 45 млн</w:t>
      </w:r>
      <w:r w:rsidR="00A16E24" w:rsidRPr="001528C9">
        <w:rPr>
          <w:rFonts w:ascii="Times New Roman" w:hAnsi="Times New Roman" w:cs="Times New Roman"/>
          <w:sz w:val="20"/>
          <w:szCs w:val="20"/>
        </w:rPr>
        <w:t>.</w:t>
      </w:r>
      <w:r w:rsidRPr="001528C9">
        <w:rPr>
          <w:rFonts w:ascii="Times New Roman" w:hAnsi="Times New Roman" w:cs="Times New Roman"/>
          <w:sz w:val="20"/>
          <w:szCs w:val="20"/>
        </w:rPr>
        <w:t xml:space="preserve"> руб. – квартир, расположенных в других субъектах Российской Федерации; 10 млн</w:t>
      </w:r>
      <w:r w:rsidR="00A16E24" w:rsidRPr="001528C9">
        <w:rPr>
          <w:rFonts w:ascii="Times New Roman" w:hAnsi="Times New Roman" w:cs="Times New Roman"/>
          <w:sz w:val="20"/>
          <w:szCs w:val="20"/>
        </w:rPr>
        <w:t>.</w:t>
      </w:r>
      <w:r w:rsidRPr="001528C9">
        <w:rPr>
          <w:rFonts w:ascii="Times New Roman" w:hAnsi="Times New Roman" w:cs="Times New Roman"/>
          <w:sz w:val="20"/>
          <w:szCs w:val="20"/>
        </w:rPr>
        <w:t xml:space="preserve"> руб. </w:t>
      </w:r>
      <w:r w:rsidRPr="001528C9">
        <w:rPr>
          <w:rFonts w:ascii="Times New Roman" w:hAnsi="Times New Roman" w:cs="Times New Roman"/>
          <w:sz w:val="20"/>
          <w:szCs w:val="20"/>
        </w:rPr>
        <w:sym w:font="Symbol" w:char="F02D"/>
      </w:r>
      <w:r w:rsidRPr="001528C9">
        <w:rPr>
          <w:rFonts w:ascii="Times New Roman" w:hAnsi="Times New Roman" w:cs="Times New Roman"/>
          <w:sz w:val="20"/>
          <w:szCs w:val="20"/>
        </w:rPr>
        <w:t xml:space="preserve"> максимальная сумма для объектов, расположенных в Москве, Московской области, Санкт-Петербурге и Ленинградской области (при оформлении кредита по 2 документам); 7 млн</w:t>
      </w:r>
      <w:r w:rsidR="00A16E24" w:rsidRPr="001528C9">
        <w:rPr>
          <w:rFonts w:ascii="Times New Roman" w:hAnsi="Times New Roman" w:cs="Times New Roman"/>
          <w:sz w:val="20"/>
          <w:szCs w:val="20"/>
        </w:rPr>
        <w:t>.</w:t>
      </w:r>
      <w:r w:rsidRPr="001528C9">
        <w:rPr>
          <w:rFonts w:ascii="Times New Roman" w:hAnsi="Times New Roman" w:cs="Times New Roman"/>
          <w:sz w:val="20"/>
          <w:szCs w:val="20"/>
        </w:rPr>
        <w:t xml:space="preserve"> руб. </w:t>
      </w:r>
      <w:r w:rsidRPr="001528C9">
        <w:rPr>
          <w:rFonts w:ascii="Times New Roman" w:hAnsi="Times New Roman" w:cs="Times New Roman"/>
          <w:sz w:val="20"/>
          <w:szCs w:val="20"/>
        </w:rPr>
        <w:sym w:font="Symbol" w:char="F02D"/>
      </w:r>
      <w:r w:rsidRPr="001528C9">
        <w:rPr>
          <w:rFonts w:ascii="Times New Roman" w:hAnsi="Times New Roman" w:cs="Times New Roman"/>
          <w:sz w:val="20"/>
          <w:szCs w:val="20"/>
        </w:rPr>
        <w:t xml:space="preserve"> для объектов, расположенных в остальных субъектах РФ (при оформлении кредита по 2 документам); 3 млн. рублей </w:t>
      </w:r>
      <w:r w:rsidRPr="001528C9">
        <w:rPr>
          <w:rFonts w:ascii="Times New Roman" w:hAnsi="Times New Roman" w:cs="Times New Roman"/>
          <w:sz w:val="20"/>
          <w:szCs w:val="20"/>
        </w:rPr>
        <w:sym w:font="Symbol" w:char="F02D"/>
      </w:r>
      <w:r w:rsidR="009C2946" w:rsidRPr="001528C9">
        <w:rPr>
          <w:rFonts w:ascii="Times New Roman" w:hAnsi="Times New Roman" w:cs="Times New Roman"/>
          <w:sz w:val="20"/>
          <w:szCs w:val="20"/>
        </w:rPr>
        <w:t xml:space="preserve"> при приобретении гаража, который расположен в г. Москве или в </w:t>
      </w:r>
      <w:r w:rsidRPr="001528C9">
        <w:rPr>
          <w:rFonts w:ascii="Times New Roman" w:hAnsi="Times New Roman" w:cs="Times New Roman"/>
          <w:sz w:val="20"/>
          <w:szCs w:val="20"/>
        </w:rPr>
        <w:t>Московской области, г. Санкт-Петербурге и</w:t>
      </w:r>
      <w:r w:rsidR="009C2946" w:rsidRPr="001528C9">
        <w:rPr>
          <w:rFonts w:ascii="Times New Roman" w:hAnsi="Times New Roman" w:cs="Times New Roman"/>
          <w:sz w:val="20"/>
          <w:szCs w:val="20"/>
        </w:rPr>
        <w:t>ли</w:t>
      </w:r>
      <w:r w:rsidRPr="001528C9">
        <w:rPr>
          <w:rFonts w:ascii="Times New Roman" w:hAnsi="Times New Roman" w:cs="Times New Roman"/>
          <w:sz w:val="20"/>
          <w:szCs w:val="20"/>
        </w:rPr>
        <w:t xml:space="preserve"> Ленинградской области; 1 млн. рублей </w:t>
      </w:r>
      <w:r w:rsidRPr="001528C9">
        <w:rPr>
          <w:rFonts w:ascii="Times New Roman" w:hAnsi="Times New Roman" w:cs="Times New Roman"/>
          <w:sz w:val="20"/>
          <w:szCs w:val="20"/>
        </w:rPr>
        <w:sym w:font="Symbol" w:char="F02D"/>
      </w:r>
      <w:r w:rsidRPr="001528C9">
        <w:rPr>
          <w:rFonts w:ascii="Times New Roman" w:hAnsi="Times New Roman" w:cs="Times New Roman"/>
          <w:sz w:val="20"/>
          <w:szCs w:val="20"/>
        </w:rPr>
        <w:t xml:space="preserve"> при приобретении гаража, расположенного в других субъёктах Российской Федерации. </w:t>
      </w:r>
      <w:r w:rsidR="00BA4A10" w:rsidRPr="001528C9">
        <w:rPr>
          <w:rFonts w:ascii="Times New Roman" w:hAnsi="Times New Roman" w:cs="Times New Roman"/>
          <w:sz w:val="20"/>
          <w:szCs w:val="20"/>
        </w:rPr>
        <w:t xml:space="preserve">Первоначальный взнос – от 10 </w:t>
      </w:r>
      <w:r w:rsidR="0013271E" w:rsidRPr="001528C9">
        <w:rPr>
          <w:rFonts w:ascii="Times New Roman" w:hAnsi="Times New Roman" w:cs="Times New Roman"/>
          <w:sz w:val="20"/>
          <w:szCs w:val="20"/>
        </w:rPr>
        <w:t xml:space="preserve">% (при приобретении квартиры), валюта кредита </w:t>
      </w:r>
      <w:r w:rsidRPr="001528C9">
        <w:rPr>
          <w:rFonts w:ascii="Times New Roman" w:hAnsi="Times New Roman" w:cs="Times New Roman"/>
          <w:sz w:val="20"/>
          <w:szCs w:val="20"/>
        </w:rPr>
        <w:sym w:font="Symbol" w:char="F02D"/>
      </w:r>
      <w:r w:rsidR="00BA4A10" w:rsidRPr="001528C9">
        <w:rPr>
          <w:rFonts w:ascii="Times New Roman" w:hAnsi="Times New Roman" w:cs="Times New Roman"/>
          <w:sz w:val="20"/>
          <w:szCs w:val="20"/>
        </w:rPr>
        <w:t xml:space="preserve"> рубли. </w:t>
      </w:r>
      <w:r w:rsidR="0013271E" w:rsidRPr="001528C9">
        <w:rPr>
          <w:rFonts w:ascii="Times New Roman" w:hAnsi="Times New Roman" w:cs="Times New Roman"/>
          <w:sz w:val="20"/>
          <w:szCs w:val="20"/>
        </w:rPr>
        <w:t>Обязательным является страхование объекта недвижимости, а также страхование титула в случаях, предусмотренных внутренними требованиями</w:t>
      </w:r>
      <w:r w:rsidR="009C2946" w:rsidRPr="001528C9">
        <w:rPr>
          <w:rFonts w:ascii="Times New Roman" w:hAnsi="Times New Roman" w:cs="Times New Roman"/>
          <w:sz w:val="20"/>
          <w:szCs w:val="20"/>
        </w:rPr>
        <w:t xml:space="preserve"> кредитной организации</w:t>
      </w:r>
      <w:r w:rsidR="0013271E" w:rsidRPr="001528C9">
        <w:rPr>
          <w:rFonts w:ascii="Times New Roman" w:hAnsi="Times New Roman" w:cs="Times New Roman"/>
          <w:sz w:val="20"/>
          <w:szCs w:val="20"/>
        </w:rPr>
        <w:t>.</w:t>
      </w:r>
    </w:p>
    <w:p w:rsidR="0013271E" w:rsidRPr="001528C9" w:rsidRDefault="0013271E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2B4EB0" w:rsidRPr="001528C9">
        <w:rPr>
          <w:rFonts w:ascii="Times New Roman" w:hAnsi="Times New Roman" w:cs="Times New Roman"/>
          <w:sz w:val="20"/>
          <w:szCs w:val="20"/>
        </w:rPr>
        <w:t>АО «</w:t>
      </w:r>
      <w:r w:rsidRPr="001528C9">
        <w:rPr>
          <w:rFonts w:ascii="Times New Roman" w:hAnsi="Times New Roman" w:cs="Times New Roman"/>
          <w:sz w:val="20"/>
          <w:szCs w:val="20"/>
        </w:rPr>
        <w:t>Газпромбанк</w:t>
      </w:r>
      <w:r w:rsidR="002B4EB0" w:rsidRPr="001528C9">
        <w:rPr>
          <w:rFonts w:ascii="Times New Roman" w:hAnsi="Times New Roman" w:cs="Times New Roman"/>
          <w:sz w:val="20"/>
          <w:szCs w:val="20"/>
        </w:rPr>
        <w:t>»</w:t>
      </w:r>
      <w:r w:rsidRPr="001528C9">
        <w:rPr>
          <w:rFonts w:ascii="Times New Roman" w:hAnsi="Times New Roman" w:cs="Times New Roman"/>
          <w:sz w:val="20"/>
          <w:szCs w:val="20"/>
        </w:rPr>
        <w:t xml:space="preserve"> предлагает такое направление, как рефинансирование. Предоставляются кредитные средства для полного погашения задолженности по ипотечному кредиту по договору, заключенному с иным Кредитором. Процентная ставка – от 9,5 % </w:t>
      </w:r>
      <w:proofErr w:type="gramStart"/>
      <w:r w:rsidRPr="001528C9">
        <w:rPr>
          <w:rFonts w:ascii="Times New Roman" w:hAnsi="Times New Roman" w:cs="Times New Roman"/>
          <w:sz w:val="20"/>
          <w:szCs w:val="20"/>
        </w:rPr>
        <w:t>годовых</w:t>
      </w:r>
      <w:proofErr w:type="gramEnd"/>
      <w:r w:rsidRPr="001528C9">
        <w:rPr>
          <w:rFonts w:ascii="Times New Roman" w:hAnsi="Times New Roman" w:cs="Times New Roman"/>
          <w:sz w:val="20"/>
          <w:szCs w:val="20"/>
        </w:rPr>
        <w:t>. Срок кредита – до 30 лет. Валюта кредита – рубли. Страхование передаваемого в залог имущества обязательно.</w:t>
      </w:r>
    </w:p>
    <w:p w:rsidR="00E402F2" w:rsidRPr="001528C9" w:rsidRDefault="00E402F2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 xml:space="preserve">Следующее направление ипотечного кредитования – программа «военная ипотека», которая обеспечивает военнослужащих квартирами с правом собственности или квартирами в строящемся жилом доме по договору участия в долевом строительстве. Процентная ставка по ипотеке – 9,5 % . Срок кредитования – от 1 года до 25 лет. </w:t>
      </w:r>
      <w:r w:rsidR="00740D7D" w:rsidRPr="001528C9">
        <w:rPr>
          <w:rFonts w:ascii="Times New Roman" w:hAnsi="Times New Roman" w:cs="Times New Roman"/>
          <w:sz w:val="20"/>
          <w:szCs w:val="20"/>
        </w:rPr>
        <w:t>Максимальная сумма кредита – 2,23 млн. рублей. Минимальный первоначальный взнос составляет 20 %.  В случае приобретения квартиры, на которую зарегистрировано право собственности</w:t>
      </w:r>
      <w:r w:rsidR="00A16E24" w:rsidRPr="001528C9">
        <w:rPr>
          <w:rFonts w:ascii="Times New Roman" w:hAnsi="Times New Roman" w:cs="Times New Roman"/>
          <w:sz w:val="20"/>
          <w:szCs w:val="20"/>
        </w:rPr>
        <w:t>, страхование </w:t>
      </w:r>
      <w:r w:rsidR="00740D7D" w:rsidRPr="001528C9">
        <w:rPr>
          <w:rFonts w:ascii="Times New Roman" w:hAnsi="Times New Roman" w:cs="Times New Roman"/>
          <w:sz w:val="20"/>
          <w:szCs w:val="20"/>
        </w:rPr>
        <w:t>объекта недвижимости</w:t>
      </w:r>
      <w:r w:rsidR="00F82EC7" w:rsidRPr="001528C9">
        <w:rPr>
          <w:rFonts w:ascii="Times New Roman" w:hAnsi="Times New Roman" w:cs="Times New Roman"/>
          <w:sz w:val="20"/>
          <w:szCs w:val="20"/>
        </w:rPr>
        <w:t xml:space="preserve"> обязательно</w:t>
      </w:r>
      <w:r w:rsidR="007F101E" w:rsidRPr="001528C9">
        <w:rPr>
          <w:rFonts w:ascii="Times New Roman" w:hAnsi="Times New Roman" w:cs="Times New Roman"/>
          <w:sz w:val="20"/>
          <w:szCs w:val="20"/>
        </w:rPr>
        <w:t xml:space="preserve">, </w:t>
      </w:r>
      <w:r w:rsidR="00A16E24" w:rsidRPr="001528C9">
        <w:rPr>
          <w:rFonts w:ascii="Times New Roman" w:hAnsi="Times New Roman" w:cs="Times New Roman"/>
          <w:sz w:val="20"/>
          <w:szCs w:val="20"/>
        </w:rPr>
        <w:t xml:space="preserve">а также </w:t>
      </w:r>
      <w:r w:rsidR="00F82EC7" w:rsidRPr="001528C9">
        <w:rPr>
          <w:rFonts w:ascii="Times New Roman" w:hAnsi="Times New Roman" w:cs="Times New Roman"/>
          <w:sz w:val="20"/>
          <w:szCs w:val="20"/>
        </w:rPr>
        <w:t xml:space="preserve">обязательно </w:t>
      </w:r>
      <w:r w:rsidR="007F101E" w:rsidRPr="001528C9">
        <w:rPr>
          <w:rFonts w:ascii="Times New Roman" w:hAnsi="Times New Roman" w:cs="Times New Roman"/>
          <w:sz w:val="20"/>
          <w:szCs w:val="20"/>
        </w:rPr>
        <w:t xml:space="preserve">страхование титула в случаях, </w:t>
      </w:r>
      <w:r w:rsidR="00A16E24" w:rsidRPr="001528C9">
        <w:rPr>
          <w:rFonts w:ascii="Times New Roman" w:hAnsi="Times New Roman" w:cs="Times New Roman"/>
          <w:sz w:val="20"/>
          <w:szCs w:val="20"/>
        </w:rPr>
        <w:t xml:space="preserve">которые </w:t>
      </w:r>
      <w:r w:rsidR="007F101E" w:rsidRPr="001528C9">
        <w:rPr>
          <w:rFonts w:ascii="Times New Roman" w:hAnsi="Times New Roman" w:cs="Times New Roman"/>
          <w:sz w:val="20"/>
          <w:szCs w:val="20"/>
        </w:rPr>
        <w:t>предусмотрен</w:t>
      </w:r>
      <w:r w:rsidR="00A16E24" w:rsidRPr="001528C9">
        <w:rPr>
          <w:rFonts w:ascii="Times New Roman" w:hAnsi="Times New Roman" w:cs="Times New Roman"/>
          <w:sz w:val="20"/>
          <w:szCs w:val="20"/>
        </w:rPr>
        <w:t>ы</w:t>
      </w:r>
      <w:r w:rsidR="007F101E" w:rsidRPr="001528C9">
        <w:rPr>
          <w:rFonts w:ascii="Times New Roman" w:hAnsi="Times New Roman" w:cs="Times New Roman"/>
          <w:sz w:val="20"/>
          <w:szCs w:val="20"/>
        </w:rPr>
        <w:t xml:space="preserve"> внутренними требованиями</w:t>
      </w:r>
      <w:r w:rsidR="00A16E24" w:rsidRPr="001528C9">
        <w:rPr>
          <w:rFonts w:ascii="Times New Roman" w:hAnsi="Times New Roman" w:cs="Times New Roman"/>
          <w:sz w:val="20"/>
          <w:szCs w:val="20"/>
        </w:rPr>
        <w:t xml:space="preserve"> кредитной организации</w:t>
      </w:r>
      <w:r w:rsidR="007F101E" w:rsidRPr="001528C9">
        <w:rPr>
          <w:rFonts w:ascii="Times New Roman" w:hAnsi="Times New Roman" w:cs="Times New Roman"/>
          <w:sz w:val="20"/>
          <w:szCs w:val="20"/>
        </w:rPr>
        <w:t xml:space="preserve">. </w:t>
      </w:r>
      <w:r w:rsidR="00BA3C59" w:rsidRPr="001528C9">
        <w:rPr>
          <w:rFonts w:ascii="Times New Roman" w:hAnsi="Times New Roman" w:cs="Times New Roman"/>
          <w:sz w:val="20"/>
          <w:szCs w:val="20"/>
        </w:rPr>
        <w:t>При приобретении</w:t>
      </w:r>
      <w:r w:rsidR="007F101E" w:rsidRPr="001528C9">
        <w:rPr>
          <w:rFonts w:ascii="Times New Roman" w:hAnsi="Times New Roman" w:cs="Times New Roman"/>
          <w:sz w:val="20"/>
          <w:szCs w:val="20"/>
        </w:rPr>
        <w:t xml:space="preserve"> квартиры в строящихся домах</w:t>
      </w:r>
      <w:r w:rsidR="00D061C2" w:rsidRPr="001528C9">
        <w:rPr>
          <w:rFonts w:ascii="Times New Roman" w:hAnsi="Times New Roman" w:cs="Times New Roman"/>
          <w:sz w:val="20"/>
          <w:szCs w:val="20"/>
        </w:rPr>
        <w:t xml:space="preserve"> </w:t>
      </w:r>
      <w:r w:rsidR="00BA3C59" w:rsidRPr="001528C9">
        <w:rPr>
          <w:rFonts w:ascii="Times New Roman" w:hAnsi="Times New Roman" w:cs="Times New Roman"/>
          <w:sz w:val="20"/>
          <w:szCs w:val="20"/>
        </w:rPr>
        <w:t xml:space="preserve">требуется </w:t>
      </w:r>
      <w:r w:rsidR="00D061C2" w:rsidRPr="001528C9">
        <w:rPr>
          <w:rFonts w:ascii="Times New Roman" w:hAnsi="Times New Roman" w:cs="Times New Roman"/>
          <w:sz w:val="20"/>
          <w:szCs w:val="20"/>
        </w:rPr>
        <w:t xml:space="preserve">страхование объекта недвижимости после государственной регистрации права собственности на приобретенную квартиру. </w:t>
      </w:r>
      <w:r w:rsidR="00257B13" w:rsidRPr="001528C9">
        <w:rPr>
          <w:rFonts w:ascii="Times New Roman" w:hAnsi="Times New Roman" w:cs="Times New Roman"/>
          <w:sz w:val="20"/>
          <w:szCs w:val="20"/>
        </w:rPr>
        <w:t>После оформления квартиры в собственность заемщика обязательно страхование имущества и гражданской ответственности.</w:t>
      </w:r>
    </w:p>
    <w:p w:rsidR="00257B13" w:rsidRPr="001528C9" w:rsidRDefault="00257B13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 xml:space="preserve">Последнее рассматриваемое направление данного банка </w:t>
      </w:r>
      <w:r w:rsidR="00012B18" w:rsidRPr="001528C9">
        <w:rPr>
          <w:rFonts w:ascii="Times New Roman" w:hAnsi="Times New Roman" w:cs="Times New Roman"/>
          <w:sz w:val="20"/>
          <w:szCs w:val="20"/>
        </w:rPr>
        <w:t xml:space="preserve"> </w:t>
      </w:r>
      <w:r w:rsidR="00012B18" w:rsidRPr="001528C9">
        <w:rPr>
          <w:rFonts w:ascii="Times New Roman" w:hAnsi="Times New Roman" w:cs="Times New Roman"/>
          <w:sz w:val="20"/>
          <w:szCs w:val="20"/>
        </w:rPr>
        <w:sym w:font="Symbol" w:char="F02D"/>
      </w:r>
      <w:r w:rsidR="00614A41" w:rsidRPr="001528C9">
        <w:rPr>
          <w:rFonts w:ascii="Times New Roman" w:hAnsi="Times New Roman" w:cs="Times New Roman"/>
          <w:sz w:val="20"/>
          <w:szCs w:val="20"/>
        </w:rPr>
        <w:t xml:space="preserve"> </w:t>
      </w:r>
      <w:r w:rsidR="004E75EA" w:rsidRPr="001528C9">
        <w:rPr>
          <w:rFonts w:ascii="Times New Roman" w:hAnsi="Times New Roman" w:cs="Times New Roman"/>
          <w:sz w:val="20"/>
          <w:szCs w:val="20"/>
        </w:rPr>
        <w:t xml:space="preserve">это </w:t>
      </w:r>
      <w:r w:rsidR="00614A41" w:rsidRPr="001528C9">
        <w:rPr>
          <w:rFonts w:ascii="Times New Roman" w:hAnsi="Times New Roman" w:cs="Times New Roman"/>
          <w:sz w:val="20"/>
          <w:szCs w:val="20"/>
        </w:rPr>
        <w:t>приобретение квартир с оформленным правом собственности у КП «УГС» (Казённое предприятие «Управление гражданского строительства») по единой ставке 9,5 % годовых. Минимальная сумма кред</w:t>
      </w:r>
      <w:r w:rsidR="00012B18" w:rsidRPr="001528C9">
        <w:rPr>
          <w:rFonts w:ascii="Times New Roman" w:hAnsi="Times New Roman" w:cs="Times New Roman"/>
          <w:sz w:val="20"/>
          <w:szCs w:val="20"/>
        </w:rPr>
        <w:t>ита составляет</w:t>
      </w:r>
      <w:r w:rsidR="00614A41" w:rsidRPr="001528C9">
        <w:rPr>
          <w:rFonts w:ascii="Times New Roman" w:hAnsi="Times New Roman" w:cs="Times New Roman"/>
          <w:sz w:val="20"/>
          <w:szCs w:val="20"/>
        </w:rPr>
        <w:t xml:space="preserve"> 0,5 млн. рублей. Минимальный первоначальный взнос </w:t>
      </w:r>
      <w:r w:rsidR="00B62A78" w:rsidRPr="001528C9">
        <w:rPr>
          <w:rFonts w:ascii="Times New Roman" w:hAnsi="Times New Roman" w:cs="Times New Roman"/>
          <w:sz w:val="20"/>
          <w:szCs w:val="20"/>
        </w:rPr>
        <w:t xml:space="preserve">в отличие от других вышеперечисленных программ </w:t>
      </w:r>
      <w:r w:rsidR="00614A41" w:rsidRPr="001528C9">
        <w:rPr>
          <w:rFonts w:ascii="Times New Roman" w:hAnsi="Times New Roman" w:cs="Times New Roman"/>
          <w:sz w:val="20"/>
          <w:szCs w:val="20"/>
        </w:rPr>
        <w:t xml:space="preserve">составляет не менее </w:t>
      </w:r>
      <w:r w:rsidR="00B62A78" w:rsidRPr="001528C9">
        <w:rPr>
          <w:rFonts w:ascii="Times New Roman" w:hAnsi="Times New Roman" w:cs="Times New Roman"/>
          <w:sz w:val="20"/>
          <w:szCs w:val="20"/>
        </w:rPr>
        <w:t>10</w:t>
      </w:r>
      <w:r w:rsidR="00614A41" w:rsidRPr="001528C9">
        <w:rPr>
          <w:rFonts w:ascii="Times New Roman" w:hAnsi="Times New Roman" w:cs="Times New Roman"/>
          <w:sz w:val="20"/>
          <w:szCs w:val="20"/>
        </w:rPr>
        <w:t xml:space="preserve"> %. </w:t>
      </w:r>
      <w:r w:rsidR="00012B18" w:rsidRPr="001528C9">
        <w:rPr>
          <w:rFonts w:ascii="Times New Roman" w:hAnsi="Times New Roman" w:cs="Times New Roman"/>
          <w:sz w:val="20"/>
          <w:szCs w:val="20"/>
        </w:rPr>
        <w:t xml:space="preserve">Максимальная сумма кредита </w:t>
      </w:r>
      <w:r w:rsidR="00012B18" w:rsidRPr="001528C9">
        <w:rPr>
          <w:rFonts w:ascii="Times New Roman" w:hAnsi="Times New Roman" w:cs="Times New Roman"/>
          <w:sz w:val="20"/>
          <w:szCs w:val="20"/>
        </w:rPr>
        <w:sym w:font="Symbol" w:char="F02D"/>
      </w:r>
      <w:r w:rsidR="00B62A78" w:rsidRPr="001528C9">
        <w:rPr>
          <w:rFonts w:ascii="Times New Roman" w:hAnsi="Times New Roman" w:cs="Times New Roman"/>
          <w:sz w:val="20"/>
          <w:szCs w:val="20"/>
        </w:rPr>
        <w:t xml:space="preserve"> </w:t>
      </w:r>
      <w:r w:rsidR="00614A41" w:rsidRPr="001528C9">
        <w:rPr>
          <w:rFonts w:ascii="Times New Roman" w:hAnsi="Times New Roman" w:cs="Times New Roman"/>
          <w:sz w:val="20"/>
          <w:szCs w:val="20"/>
        </w:rPr>
        <w:t>60 млн</w:t>
      </w:r>
      <w:r w:rsidR="002B4EB0" w:rsidRPr="001528C9">
        <w:rPr>
          <w:rFonts w:ascii="Times New Roman" w:hAnsi="Times New Roman" w:cs="Times New Roman"/>
          <w:sz w:val="20"/>
          <w:szCs w:val="20"/>
        </w:rPr>
        <w:t>.</w:t>
      </w:r>
      <w:r w:rsidR="00012B18" w:rsidRPr="001528C9">
        <w:rPr>
          <w:rFonts w:ascii="Times New Roman" w:hAnsi="Times New Roman" w:cs="Times New Roman"/>
          <w:sz w:val="20"/>
          <w:szCs w:val="20"/>
        </w:rPr>
        <w:t xml:space="preserve"> руб. </w:t>
      </w:r>
      <w:r w:rsidR="00012B18" w:rsidRPr="001528C9">
        <w:rPr>
          <w:rFonts w:ascii="Times New Roman" w:hAnsi="Times New Roman" w:cs="Times New Roman"/>
          <w:sz w:val="20"/>
          <w:szCs w:val="20"/>
        </w:rPr>
        <w:sym w:font="Symbol" w:char="F02D"/>
      </w:r>
      <w:r w:rsidR="00012B18" w:rsidRPr="001528C9">
        <w:rPr>
          <w:rFonts w:ascii="Times New Roman" w:hAnsi="Times New Roman" w:cs="Times New Roman"/>
          <w:sz w:val="20"/>
          <w:szCs w:val="20"/>
        </w:rPr>
        <w:t xml:space="preserve"> </w:t>
      </w:r>
      <w:r w:rsidR="00614A41" w:rsidRPr="001528C9">
        <w:rPr>
          <w:rFonts w:ascii="Times New Roman" w:hAnsi="Times New Roman" w:cs="Times New Roman"/>
          <w:sz w:val="20"/>
          <w:szCs w:val="20"/>
        </w:rPr>
        <w:t xml:space="preserve">при приобретении квартир, </w:t>
      </w:r>
      <w:r w:rsidR="00012B18" w:rsidRPr="001528C9">
        <w:rPr>
          <w:rFonts w:ascii="Times New Roman" w:hAnsi="Times New Roman" w:cs="Times New Roman"/>
          <w:sz w:val="20"/>
          <w:szCs w:val="20"/>
        </w:rPr>
        <w:t>которые расположены</w:t>
      </w:r>
      <w:r w:rsidR="00614A41" w:rsidRPr="001528C9">
        <w:rPr>
          <w:rFonts w:ascii="Times New Roman" w:hAnsi="Times New Roman" w:cs="Times New Roman"/>
          <w:sz w:val="20"/>
          <w:szCs w:val="20"/>
        </w:rPr>
        <w:t xml:space="preserve"> в Москве; 45 млн</w:t>
      </w:r>
      <w:r w:rsidR="002B4EB0" w:rsidRPr="001528C9">
        <w:rPr>
          <w:rFonts w:ascii="Times New Roman" w:hAnsi="Times New Roman" w:cs="Times New Roman"/>
          <w:sz w:val="20"/>
          <w:szCs w:val="20"/>
        </w:rPr>
        <w:t>.</w:t>
      </w:r>
      <w:r w:rsidR="00012B18" w:rsidRPr="001528C9">
        <w:rPr>
          <w:rFonts w:ascii="Times New Roman" w:hAnsi="Times New Roman" w:cs="Times New Roman"/>
          <w:sz w:val="20"/>
          <w:szCs w:val="20"/>
        </w:rPr>
        <w:t xml:space="preserve"> руб. </w:t>
      </w:r>
      <w:r w:rsidR="00012B18" w:rsidRPr="001528C9">
        <w:rPr>
          <w:rFonts w:ascii="Times New Roman" w:hAnsi="Times New Roman" w:cs="Times New Roman"/>
          <w:sz w:val="20"/>
          <w:szCs w:val="20"/>
        </w:rPr>
        <w:sym w:font="Symbol" w:char="F02D"/>
      </w:r>
      <w:r w:rsidR="00614A41" w:rsidRPr="001528C9">
        <w:rPr>
          <w:rFonts w:ascii="Times New Roman" w:hAnsi="Times New Roman" w:cs="Times New Roman"/>
          <w:sz w:val="20"/>
          <w:szCs w:val="20"/>
        </w:rPr>
        <w:t xml:space="preserve"> при приобретении квартир, рас</w:t>
      </w:r>
      <w:r w:rsidR="00B62A78" w:rsidRPr="001528C9">
        <w:rPr>
          <w:rFonts w:ascii="Times New Roman" w:hAnsi="Times New Roman" w:cs="Times New Roman"/>
          <w:sz w:val="20"/>
          <w:szCs w:val="20"/>
        </w:rPr>
        <w:t xml:space="preserve">положенных в Московской области. </w:t>
      </w:r>
      <w:r w:rsidR="00614A41" w:rsidRPr="001528C9">
        <w:rPr>
          <w:rFonts w:ascii="Times New Roman" w:hAnsi="Times New Roman" w:cs="Times New Roman"/>
          <w:sz w:val="20"/>
          <w:szCs w:val="20"/>
        </w:rPr>
        <w:t xml:space="preserve"> </w:t>
      </w:r>
      <w:r w:rsidR="00B62A78" w:rsidRPr="001528C9">
        <w:rPr>
          <w:rFonts w:ascii="Times New Roman" w:hAnsi="Times New Roman" w:cs="Times New Roman"/>
          <w:sz w:val="20"/>
          <w:szCs w:val="20"/>
        </w:rPr>
        <w:t>При предоставлении сертификата материнского капитала, первоначальный взнос при приобретении квартиры</w:t>
      </w:r>
      <w:r w:rsidR="00012B18" w:rsidRPr="001528C9">
        <w:rPr>
          <w:rFonts w:ascii="Times New Roman" w:hAnsi="Times New Roman" w:cs="Times New Roman"/>
          <w:sz w:val="20"/>
          <w:szCs w:val="20"/>
        </w:rPr>
        <w:t xml:space="preserve"> может быть уменьшен на сумму либо часть суммы</w:t>
      </w:r>
      <w:r w:rsidR="00B62A78" w:rsidRPr="001528C9">
        <w:rPr>
          <w:rFonts w:ascii="Times New Roman" w:hAnsi="Times New Roman" w:cs="Times New Roman"/>
          <w:sz w:val="20"/>
          <w:szCs w:val="20"/>
        </w:rPr>
        <w:t xml:space="preserve">, </w:t>
      </w:r>
      <w:r w:rsidR="00012B18" w:rsidRPr="001528C9">
        <w:rPr>
          <w:rFonts w:ascii="Times New Roman" w:hAnsi="Times New Roman" w:cs="Times New Roman"/>
          <w:sz w:val="20"/>
          <w:szCs w:val="20"/>
        </w:rPr>
        <w:t>которая указана</w:t>
      </w:r>
      <w:r w:rsidR="00B62A78" w:rsidRPr="001528C9">
        <w:rPr>
          <w:rFonts w:ascii="Times New Roman" w:hAnsi="Times New Roman" w:cs="Times New Roman"/>
          <w:sz w:val="20"/>
          <w:szCs w:val="20"/>
        </w:rPr>
        <w:t xml:space="preserve"> в серти</w:t>
      </w:r>
      <w:r w:rsidR="00012B18" w:rsidRPr="001528C9">
        <w:rPr>
          <w:rFonts w:ascii="Times New Roman" w:hAnsi="Times New Roman" w:cs="Times New Roman"/>
          <w:sz w:val="20"/>
          <w:szCs w:val="20"/>
        </w:rPr>
        <w:t>фикате материнского капитала, при этом</w:t>
      </w:r>
      <w:r w:rsidR="00B62A78" w:rsidRPr="001528C9">
        <w:rPr>
          <w:rFonts w:ascii="Times New Roman" w:hAnsi="Times New Roman" w:cs="Times New Roman"/>
          <w:sz w:val="20"/>
          <w:szCs w:val="20"/>
        </w:rPr>
        <w:t xml:space="preserve"> не менее чем до 5%. Обязательно страхование объекта недвижимости, страхование титула в случаях, предусмотренных внутренними требованиями Банка</w:t>
      </w:r>
      <w:r w:rsidR="00357088" w:rsidRPr="001528C9">
        <w:rPr>
          <w:rFonts w:ascii="Times New Roman" w:hAnsi="Times New Roman" w:cs="Times New Roman"/>
          <w:sz w:val="20"/>
          <w:szCs w:val="20"/>
        </w:rPr>
        <w:t xml:space="preserve"> [</w:t>
      </w:r>
      <w:r w:rsidR="00E306F2">
        <w:rPr>
          <w:rFonts w:ascii="Times New Roman" w:hAnsi="Times New Roman" w:cs="Times New Roman"/>
          <w:sz w:val="20"/>
          <w:szCs w:val="20"/>
        </w:rPr>
        <w:t>9</w:t>
      </w:r>
      <w:r w:rsidR="00357088" w:rsidRPr="001528C9">
        <w:rPr>
          <w:rFonts w:ascii="Times New Roman" w:hAnsi="Times New Roman" w:cs="Times New Roman"/>
          <w:sz w:val="20"/>
          <w:szCs w:val="20"/>
        </w:rPr>
        <w:t>]</w:t>
      </w:r>
      <w:r w:rsidR="00B62A78" w:rsidRPr="001528C9">
        <w:rPr>
          <w:rFonts w:ascii="Times New Roman" w:hAnsi="Times New Roman" w:cs="Times New Roman"/>
          <w:sz w:val="20"/>
          <w:szCs w:val="20"/>
        </w:rPr>
        <w:t>.</w:t>
      </w:r>
    </w:p>
    <w:p w:rsidR="00B62A78" w:rsidRPr="001528C9" w:rsidRDefault="00B62A78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 xml:space="preserve">Рассмотрим направления ипотечного кредитования Банка </w:t>
      </w:r>
      <w:r w:rsidR="00BE4D0B" w:rsidRPr="001528C9">
        <w:rPr>
          <w:rFonts w:ascii="Times New Roman" w:hAnsi="Times New Roman" w:cs="Times New Roman"/>
          <w:i/>
          <w:sz w:val="20"/>
          <w:szCs w:val="20"/>
        </w:rPr>
        <w:t xml:space="preserve">ПАО «Банк </w:t>
      </w:r>
      <w:r w:rsidRPr="001528C9">
        <w:rPr>
          <w:rFonts w:ascii="Times New Roman" w:hAnsi="Times New Roman" w:cs="Times New Roman"/>
          <w:i/>
          <w:sz w:val="20"/>
          <w:szCs w:val="20"/>
        </w:rPr>
        <w:t>ВТБ</w:t>
      </w:r>
      <w:r w:rsidR="00B854E4" w:rsidRPr="001528C9">
        <w:rPr>
          <w:rFonts w:ascii="Times New Roman" w:hAnsi="Times New Roman" w:cs="Times New Roman"/>
          <w:i/>
          <w:sz w:val="20"/>
          <w:szCs w:val="20"/>
        </w:rPr>
        <w:t xml:space="preserve"> 24</w:t>
      </w:r>
      <w:r w:rsidR="00BE4D0B" w:rsidRPr="001528C9">
        <w:rPr>
          <w:rFonts w:ascii="Times New Roman" w:hAnsi="Times New Roman" w:cs="Times New Roman"/>
          <w:i/>
          <w:sz w:val="20"/>
          <w:szCs w:val="20"/>
        </w:rPr>
        <w:t>»</w:t>
      </w:r>
      <w:r w:rsidRPr="001528C9">
        <w:rPr>
          <w:rFonts w:ascii="Times New Roman" w:hAnsi="Times New Roman" w:cs="Times New Roman"/>
          <w:i/>
          <w:sz w:val="20"/>
          <w:szCs w:val="20"/>
        </w:rPr>
        <w:t>.</w:t>
      </w:r>
      <w:r w:rsidRPr="001528C9">
        <w:rPr>
          <w:rFonts w:ascii="Times New Roman" w:hAnsi="Times New Roman" w:cs="Times New Roman"/>
          <w:sz w:val="20"/>
          <w:szCs w:val="20"/>
        </w:rPr>
        <w:t xml:space="preserve"> </w:t>
      </w:r>
      <w:r w:rsidR="00E85EAC" w:rsidRPr="001528C9">
        <w:rPr>
          <w:rFonts w:ascii="Times New Roman" w:hAnsi="Times New Roman" w:cs="Times New Roman"/>
          <w:sz w:val="20"/>
          <w:szCs w:val="20"/>
        </w:rPr>
        <w:t xml:space="preserve">Первый продукт </w:t>
      </w:r>
      <w:proofErr w:type="gramStart"/>
      <w:r w:rsidR="002739CF" w:rsidRPr="001528C9">
        <w:rPr>
          <w:rFonts w:ascii="Times New Roman" w:hAnsi="Times New Roman" w:cs="Times New Roman"/>
          <w:sz w:val="20"/>
          <w:szCs w:val="20"/>
        </w:rPr>
        <w:t>–и</w:t>
      </w:r>
      <w:proofErr w:type="gramEnd"/>
      <w:r w:rsidR="002739CF" w:rsidRPr="001528C9">
        <w:rPr>
          <w:rFonts w:ascii="Times New Roman" w:hAnsi="Times New Roman" w:cs="Times New Roman"/>
          <w:sz w:val="20"/>
          <w:szCs w:val="20"/>
        </w:rPr>
        <w:t>потека с пониженной ставкой на 0,5 % при покупке квартиры от 65 кв. метров. Ставка по кредиту составляет 9,5 %. Первоначальный взнос – не менее 20 % от суммы приобретаемой недвижимости. Сумма кредита от 600 тыс. до 60 млн</w:t>
      </w:r>
      <w:r w:rsidR="00435AC1" w:rsidRPr="001528C9">
        <w:rPr>
          <w:rFonts w:ascii="Times New Roman" w:hAnsi="Times New Roman" w:cs="Times New Roman"/>
          <w:sz w:val="20"/>
          <w:szCs w:val="20"/>
        </w:rPr>
        <w:t>.</w:t>
      </w:r>
      <w:r w:rsidR="002739CF" w:rsidRPr="001528C9">
        <w:rPr>
          <w:rFonts w:ascii="Times New Roman" w:hAnsi="Times New Roman" w:cs="Times New Roman"/>
          <w:sz w:val="20"/>
          <w:szCs w:val="20"/>
        </w:rPr>
        <w:t xml:space="preserve"> рублей.</w:t>
      </w:r>
      <w:r w:rsidR="00435AC1" w:rsidRPr="001528C9">
        <w:rPr>
          <w:rFonts w:ascii="Times New Roman" w:hAnsi="Times New Roman" w:cs="Times New Roman"/>
          <w:sz w:val="20"/>
          <w:szCs w:val="20"/>
        </w:rPr>
        <w:t xml:space="preserve"> Срок кредита – до 30 лет. </w:t>
      </w:r>
      <w:r w:rsidR="00C53627" w:rsidRPr="001528C9">
        <w:rPr>
          <w:rFonts w:ascii="Times New Roman" w:hAnsi="Times New Roman" w:cs="Times New Roman"/>
          <w:sz w:val="20"/>
          <w:szCs w:val="20"/>
        </w:rPr>
        <w:t xml:space="preserve">Данная </w:t>
      </w:r>
      <w:r w:rsidR="00435AC1" w:rsidRPr="001528C9">
        <w:rPr>
          <w:rFonts w:ascii="Times New Roman" w:hAnsi="Times New Roman" w:cs="Times New Roman"/>
          <w:sz w:val="20"/>
          <w:szCs w:val="20"/>
        </w:rPr>
        <w:t>ставка по ипотечному кредиту указана при условии страхования следующих рисков: утраты жизни и трудоспособности заемщика, утраты или повреждения приобретаемой квартиры, прекращения или ограничения права собственности (в течение первых трех лет после приобретения квартиры в кредит) на квартиру.</w:t>
      </w:r>
    </w:p>
    <w:p w:rsidR="00435AC1" w:rsidRPr="001528C9" w:rsidRDefault="005A37FC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lastRenderedPageBreak/>
        <w:t xml:space="preserve">Следующее направление – кредит на покупку квартир в строящихся домах и на вторичном рынке. Процентная ставка по этому кредиту немного выше, чем по предыдущему – 9,7 % годовых. </w:t>
      </w:r>
      <w:r w:rsidR="00A75BDD" w:rsidRPr="001528C9">
        <w:rPr>
          <w:rFonts w:ascii="Times New Roman" w:hAnsi="Times New Roman" w:cs="Times New Roman"/>
          <w:sz w:val="20"/>
          <w:szCs w:val="20"/>
        </w:rPr>
        <w:t xml:space="preserve"> Сумма кредита такая же</w:t>
      </w:r>
      <w:r w:rsidR="00B904F1" w:rsidRPr="001528C9">
        <w:rPr>
          <w:rFonts w:ascii="Times New Roman" w:hAnsi="Times New Roman" w:cs="Times New Roman"/>
          <w:sz w:val="20"/>
          <w:szCs w:val="20"/>
        </w:rPr>
        <w:t>, как и у предыдущего кредита - от 600 тыс. до 60 млн. рублей. Срок кредита – до 30 ле</w:t>
      </w:r>
      <w:r w:rsidR="000656EA" w:rsidRPr="001528C9">
        <w:rPr>
          <w:rFonts w:ascii="Times New Roman" w:hAnsi="Times New Roman" w:cs="Times New Roman"/>
          <w:sz w:val="20"/>
          <w:szCs w:val="20"/>
        </w:rPr>
        <w:t xml:space="preserve">т. Ставка по </w:t>
      </w:r>
      <w:proofErr w:type="gramStart"/>
      <w:r w:rsidR="000656EA" w:rsidRPr="001528C9">
        <w:rPr>
          <w:rFonts w:ascii="Times New Roman" w:hAnsi="Times New Roman" w:cs="Times New Roman"/>
          <w:sz w:val="20"/>
          <w:szCs w:val="20"/>
        </w:rPr>
        <w:t>ипотечному</w:t>
      </w:r>
      <w:proofErr w:type="gramEnd"/>
      <w:r w:rsidR="000656EA" w:rsidRPr="001528C9">
        <w:rPr>
          <w:rFonts w:ascii="Times New Roman" w:hAnsi="Times New Roman" w:cs="Times New Roman"/>
          <w:sz w:val="20"/>
          <w:szCs w:val="20"/>
        </w:rPr>
        <w:t xml:space="preserve"> кредитования указана при условии полного комплексного страхования следующих рисков: риска утраты жизни и трудоспособности, риска утраты и повреждения приобретаемой квартиры, риска прекращения или ограничения права собственности на квартиру.</w:t>
      </w:r>
    </w:p>
    <w:p w:rsidR="0090405A" w:rsidRPr="001528C9" w:rsidRDefault="00806F93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>Далее рассмотрим следующий продук</w:t>
      </w:r>
      <w:proofErr w:type="gramStart"/>
      <w:r w:rsidRPr="001528C9">
        <w:rPr>
          <w:rFonts w:ascii="Times New Roman" w:hAnsi="Times New Roman" w:cs="Times New Roman"/>
          <w:sz w:val="20"/>
          <w:szCs w:val="20"/>
        </w:rPr>
        <w:t>т-</w:t>
      </w:r>
      <w:proofErr w:type="gramEnd"/>
      <w:r w:rsidRPr="001528C9">
        <w:rPr>
          <w:rFonts w:ascii="Times New Roman" w:hAnsi="Times New Roman" w:cs="Times New Roman"/>
          <w:sz w:val="20"/>
          <w:szCs w:val="20"/>
        </w:rPr>
        <w:t xml:space="preserve"> ипотечное кредитование при предъявлении всего 2 документов по ставке 10,7% годовых. Для получения кредита необходимо представить Паспорт гражданина Р</w:t>
      </w:r>
      <w:r w:rsidR="00B15ADE" w:rsidRPr="001528C9">
        <w:rPr>
          <w:rFonts w:ascii="Times New Roman" w:hAnsi="Times New Roman" w:cs="Times New Roman"/>
          <w:sz w:val="20"/>
          <w:szCs w:val="20"/>
        </w:rPr>
        <w:t xml:space="preserve">оссийской </w:t>
      </w:r>
      <w:r w:rsidRPr="001528C9">
        <w:rPr>
          <w:rFonts w:ascii="Times New Roman" w:hAnsi="Times New Roman" w:cs="Times New Roman"/>
          <w:sz w:val="20"/>
          <w:szCs w:val="20"/>
        </w:rPr>
        <w:t>Ф</w:t>
      </w:r>
      <w:r w:rsidR="00B15ADE" w:rsidRPr="001528C9">
        <w:rPr>
          <w:rFonts w:ascii="Times New Roman" w:hAnsi="Times New Roman" w:cs="Times New Roman"/>
          <w:sz w:val="20"/>
          <w:szCs w:val="20"/>
        </w:rPr>
        <w:t>едерации</w:t>
      </w:r>
      <w:r w:rsidRPr="001528C9">
        <w:rPr>
          <w:rFonts w:ascii="Times New Roman" w:hAnsi="Times New Roman" w:cs="Times New Roman"/>
          <w:sz w:val="20"/>
          <w:szCs w:val="20"/>
        </w:rPr>
        <w:t>, Страховое свидетельство государственного пенсионного страхования ​(СНИЛС)</w:t>
      </w:r>
      <w:r w:rsidR="00B15ADE" w:rsidRPr="001528C9">
        <w:rPr>
          <w:rFonts w:ascii="Times New Roman" w:hAnsi="Times New Roman" w:cs="Times New Roman"/>
          <w:sz w:val="20"/>
          <w:szCs w:val="20"/>
        </w:rPr>
        <w:t>, а</w:t>
      </w:r>
      <w:r w:rsidRPr="001528C9">
        <w:rPr>
          <w:rFonts w:ascii="Times New Roman" w:hAnsi="Times New Roman" w:cs="Times New Roman"/>
          <w:sz w:val="20"/>
          <w:szCs w:val="20"/>
        </w:rPr>
        <w:t xml:space="preserve"> для мужчин, не достигших 27 лет –</w:t>
      </w:r>
      <w:r w:rsidR="001C529D" w:rsidRPr="001528C9">
        <w:rPr>
          <w:rFonts w:ascii="Times New Roman" w:hAnsi="Times New Roman" w:cs="Times New Roman"/>
          <w:sz w:val="20"/>
          <w:szCs w:val="20"/>
        </w:rPr>
        <w:t xml:space="preserve"> </w:t>
      </w:r>
      <w:r w:rsidRPr="001528C9">
        <w:rPr>
          <w:rFonts w:ascii="Times New Roman" w:hAnsi="Times New Roman" w:cs="Times New Roman"/>
          <w:sz w:val="20"/>
          <w:szCs w:val="20"/>
        </w:rPr>
        <w:t xml:space="preserve">военный билет. </w:t>
      </w:r>
      <w:r w:rsidR="00C119D1" w:rsidRPr="001528C9">
        <w:rPr>
          <w:rFonts w:ascii="Times New Roman" w:hAnsi="Times New Roman" w:cs="Times New Roman"/>
          <w:sz w:val="20"/>
          <w:szCs w:val="20"/>
        </w:rPr>
        <w:t>Максимальная сумма кредита меньше, чем в предыдущих – до 30 млн. рублей</w:t>
      </w:r>
      <w:r w:rsidR="0090405A" w:rsidRPr="001528C9">
        <w:rPr>
          <w:rFonts w:ascii="Times New Roman" w:hAnsi="Times New Roman" w:cs="Times New Roman"/>
          <w:sz w:val="20"/>
          <w:szCs w:val="20"/>
        </w:rPr>
        <w:t xml:space="preserve"> в Москве, московск</w:t>
      </w:r>
      <w:r w:rsidR="00C119D1" w:rsidRPr="001528C9">
        <w:rPr>
          <w:rFonts w:ascii="Times New Roman" w:hAnsi="Times New Roman" w:cs="Times New Roman"/>
          <w:sz w:val="20"/>
          <w:szCs w:val="20"/>
        </w:rPr>
        <w:t xml:space="preserve">ой области и </w:t>
      </w:r>
      <w:r w:rsidR="0090405A" w:rsidRPr="001528C9">
        <w:rPr>
          <w:rFonts w:ascii="Times New Roman" w:hAnsi="Times New Roman" w:cs="Times New Roman"/>
          <w:sz w:val="20"/>
          <w:szCs w:val="20"/>
        </w:rPr>
        <w:t>Санкт-Петербурге, в остальных регионах 15 млн. рублей</w:t>
      </w:r>
      <w:r w:rsidR="00C119D1" w:rsidRPr="001528C9">
        <w:rPr>
          <w:rFonts w:ascii="Times New Roman" w:hAnsi="Times New Roman" w:cs="Times New Roman"/>
          <w:sz w:val="20"/>
          <w:szCs w:val="20"/>
        </w:rPr>
        <w:t>. Срок кредита до 20 лет. Объём первонач</w:t>
      </w:r>
      <w:r w:rsidR="0090405A" w:rsidRPr="001528C9">
        <w:rPr>
          <w:rFonts w:ascii="Times New Roman" w:hAnsi="Times New Roman" w:cs="Times New Roman"/>
          <w:sz w:val="20"/>
          <w:szCs w:val="20"/>
        </w:rPr>
        <w:t xml:space="preserve">ального взноса составляет 30 %. Обязательно комплексное страхование по рискам, упомянутым раннее. </w:t>
      </w:r>
    </w:p>
    <w:p w:rsidR="000656EA" w:rsidRPr="001528C9" w:rsidRDefault="0090405A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 xml:space="preserve">Другое направление  ипотечного кредитования – кредит на жильё,  </w:t>
      </w:r>
      <w:r w:rsidR="00A75BDD" w:rsidRPr="001528C9">
        <w:rPr>
          <w:rFonts w:ascii="Times New Roman" w:hAnsi="Times New Roman" w:cs="Times New Roman"/>
          <w:sz w:val="20"/>
          <w:szCs w:val="20"/>
        </w:rPr>
        <w:t>находящееся в залоге у банка и выставленное собственником на продажу.</w:t>
      </w:r>
      <w:r w:rsidR="00C97A5F" w:rsidRPr="001528C9">
        <w:rPr>
          <w:rFonts w:ascii="Times New Roman" w:hAnsi="Times New Roman" w:cs="Times New Roman"/>
          <w:sz w:val="20"/>
          <w:szCs w:val="20"/>
        </w:rPr>
        <w:t xml:space="preserve"> Сумма кредита - от 600 тыс. до 60 млн</w:t>
      </w:r>
      <w:r w:rsidR="00A0511A" w:rsidRPr="001528C9">
        <w:rPr>
          <w:rFonts w:ascii="Times New Roman" w:hAnsi="Times New Roman" w:cs="Times New Roman"/>
          <w:sz w:val="20"/>
          <w:szCs w:val="20"/>
        </w:rPr>
        <w:t>.</w:t>
      </w:r>
      <w:r w:rsidR="00C97A5F" w:rsidRPr="001528C9">
        <w:rPr>
          <w:rFonts w:ascii="Times New Roman" w:hAnsi="Times New Roman" w:cs="Times New Roman"/>
          <w:sz w:val="20"/>
          <w:szCs w:val="20"/>
        </w:rPr>
        <w:t xml:space="preserve"> рублей. </w:t>
      </w:r>
      <w:r w:rsidR="00A0511A" w:rsidRPr="001528C9">
        <w:rPr>
          <w:rFonts w:ascii="Times New Roman" w:hAnsi="Times New Roman" w:cs="Times New Roman"/>
          <w:sz w:val="20"/>
          <w:szCs w:val="20"/>
        </w:rPr>
        <w:t>Кредит предоставляется по ставке от 10 % годовых на срок до 30 лет. Первоначальный взнос составляет не менее 20 % от стоимости приобретаемой недвижимости. Обязательно комплексное страхование</w:t>
      </w:r>
      <w:r w:rsidR="00DD216D" w:rsidRPr="001528C9">
        <w:rPr>
          <w:rFonts w:ascii="Times New Roman" w:hAnsi="Times New Roman" w:cs="Times New Roman"/>
          <w:sz w:val="20"/>
          <w:szCs w:val="20"/>
        </w:rPr>
        <w:t xml:space="preserve"> по рискам, указанным раннее.</w:t>
      </w:r>
    </w:p>
    <w:p w:rsidR="00DD216D" w:rsidRPr="001528C9" w:rsidRDefault="00DD216D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>Последнее рассматриваемое направление ипотечного кредитования в данном банке представляет собой ипотеку для военных — участников</w:t>
      </w:r>
      <w:r w:rsidR="001C529D" w:rsidRPr="001528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529D" w:rsidRPr="001528C9">
        <w:rPr>
          <w:rFonts w:ascii="Times New Roman" w:hAnsi="Times New Roman" w:cs="Times New Roman"/>
          <w:sz w:val="20"/>
          <w:szCs w:val="20"/>
        </w:rPr>
        <w:t>накопительно</w:t>
      </w:r>
      <w:proofErr w:type="spellEnd"/>
      <w:r w:rsidR="001C529D" w:rsidRPr="001528C9">
        <w:rPr>
          <w:rFonts w:ascii="Times New Roman" w:hAnsi="Times New Roman" w:cs="Times New Roman"/>
          <w:sz w:val="20"/>
          <w:szCs w:val="20"/>
        </w:rPr>
        <w:t xml:space="preserve">-ипотечной системы. </w:t>
      </w:r>
      <w:r w:rsidR="00312FF1" w:rsidRPr="001528C9">
        <w:rPr>
          <w:rFonts w:ascii="Times New Roman" w:hAnsi="Times New Roman" w:cs="Times New Roman"/>
          <w:sz w:val="20"/>
          <w:szCs w:val="20"/>
        </w:rPr>
        <w:t xml:space="preserve">Ставка по кредиту – от 9,7 % до 10 % </w:t>
      </w:r>
      <w:proofErr w:type="gramStart"/>
      <w:r w:rsidR="00312FF1" w:rsidRPr="001528C9">
        <w:rPr>
          <w:rFonts w:ascii="Times New Roman" w:hAnsi="Times New Roman" w:cs="Times New Roman"/>
          <w:sz w:val="20"/>
          <w:szCs w:val="20"/>
        </w:rPr>
        <w:t>годовых</w:t>
      </w:r>
      <w:proofErr w:type="gramEnd"/>
      <w:r w:rsidR="00312FF1" w:rsidRPr="001528C9">
        <w:rPr>
          <w:rFonts w:ascii="Times New Roman" w:hAnsi="Times New Roman" w:cs="Times New Roman"/>
          <w:sz w:val="20"/>
          <w:szCs w:val="20"/>
        </w:rPr>
        <w:t xml:space="preserve"> (ставка увеличивается до 10 % при выходе из НИС). Срок кредитования – до 20 лет, но не позднее достижения заемщиком возраста 45 лет на дату погашения кредита. Минимальный первоначальный взнос – 15 % от общей суммы недвижимости. Страхование риска утраты или повреждения приобретаемой квартиры обязательно</w:t>
      </w:r>
      <w:r w:rsidR="00357088" w:rsidRPr="001528C9">
        <w:rPr>
          <w:rFonts w:ascii="Times New Roman" w:hAnsi="Times New Roman" w:cs="Times New Roman"/>
          <w:sz w:val="20"/>
          <w:szCs w:val="20"/>
        </w:rPr>
        <w:t xml:space="preserve"> [</w:t>
      </w:r>
      <w:r w:rsidR="00E306F2">
        <w:rPr>
          <w:rFonts w:ascii="Times New Roman" w:hAnsi="Times New Roman" w:cs="Times New Roman"/>
          <w:sz w:val="20"/>
          <w:szCs w:val="20"/>
        </w:rPr>
        <w:t>10</w:t>
      </w:r>
      <w:r w:rsidR="00357088" w:rsidRPr="001528C9">
        <w:rPr>
          <w:rFonts w:ascii="Times New Roman" w:hAnsi="Times New Roman" w:cs="Times New Roman"/>
          <w:sz w:val="20"/>
          <w:szCs w:val="20"/>
        </w:rPr>
        <w:t>]</w:t>
      </w:r>
      <w:r w:rsidR="00312FF1" w:rsidRPr="001528C9">
        <w:rPr>
          <w:rFonts w:ascii="Times New Roman" w:hAnsi="Times New Roman" w:cs="Times New Roman"/>
          <w:sz w:val="20"/>
          <w:szCs w:val="20"/>
        </w:rPr>
        <w:t>.</w:t>
      </w:r>
    </w:p>
    <w:p w:rsidR="00892FCB" w:rsidRPr="001528C9" w:rsidRDefault="00892FCB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 xml:space="preserve">Рассмотрим последние направления ипотечного кредитования такой кредитной организации, как </w:t>
      </w:r>
      <w:r w:rsidR="00286AFD" w:rsidRPr="001528C9">
        <w:rPr>
          <w:rFonts w:ascii="Times New Roman" w:hAnsi="Times New Roman" w:cs="Times New Roman"/>
          <w:i/>
          <w:sz w:val="20"/>
          <w:szCs w:val="20"/>
        </w:rPr>
        <w:t>АО «</w:t>
      </w:r>
      <w:r w:rsidRPr="001528C9">
        <w:rPr>
          <w:rFonts w:ascii="Times New Roman" w:hAnsi="Times New Roman" w:cs="Times New Roman"/>
          <w:i/>
          <w:sz w:val="20"/>
          <w:szCs w:val="20"/>
        </w:rPr>
        <w:t>Банк жилищного финансирования</w:t>
      </w:r>
      <w:r w:rsidR="00286AFD" w:rsidRPr="001528C9">
        <w:rPr>
          <w:rFonts w:ascii="Times New Roman" w:hAnsi="Times New Roman" w:cs="Times New Roman"/>
          <w:i/>
          <w:sz w:val="20"/>
          <w:szCs w:val="20"/>
        </w:rPr>
        <w:t>»</w:t>
      </w:r>
      <w:r w:rsidRPr="001528C9">
        <w:rPr>
          <w:rFonts w:ascii="Times New Roman" w:hAnsi="Times New Roman" w:cs="Times New Roman"/>
          <w:sz w:val="20"/>
          <w:szCs w:val="20"/>
        </w:rPr>
        <w:t xml:space="preserve">. Данная кредитная организация </w:t>
      </w:r>
      <w:r w:rsidR="008F735C" w:rsidRPr="001528C9">
        <w:rPr>
          <w:rFonts w:ascii="Times New Roman" w:hAnsi="Times New Roman" w:cs="Times New Roman"/>
          <w:sz w:val="20"/>
          <w:szCs w:val="20"/>
        </w:rPr>
        <w:t xml:space="preserve">специализируется на ипотечном кредитовании. Если в предыдущих банках предлагалось множество направлений, то </w:t>
      </w:r>
      <w:r w:rsidR="00286AFD" w:rsidRPr="001528C9">
        <w:rPr>
          <w:rFonts w:ascii="Times New Roman" w:hAnsi="Times New Roman" w:cs="Times New Roman"/>
          <w:sz w:val="20"/>
          <w:szCs w:val="20"/>
        </w:rPr>
        <w:t>АО «</w:t>
      </w:r>
      <w:r w:rsidR="008F735C" w:rsidRPr="001528C9">
        <w:rPr>
          <w:rFonts w:ascii="Times New Roman" w:hAnsi="Times New Roman" w:cs="Times New Roman"/>
          <w:sz w:val="20"/>
          <w:szCs w:val="20"/>
        </w:rPr>
        <w:t>Банк жилищного финансирования</w:t>
      </w:r>
      <w:r w:rsidR="00286AFD" w:rsidRPr="001528C9">
        <w:rPr>
          <w:rFonts w:ascii="Times New Roman" w:hAnsi="Times New Roman" w:cs="Times New Roman"/>
          <w:sz w:val="20"/>
          <w:szCs w:val="20"/>
        </w:rPr>
        <w:t>»</w:t>
      </w:r>
      <w:r w:rsidR="008F735C" w:rsidRPr="001528C9">
        <w:rPr>
          <w:rFonts w:ascii="Times New Roman" w:hAnsi="Times New Roman" w:cs="Times New Roman"/>
          <w:sz w:val="20"/>
          <w:szCs w:val="20"/>
        </w:rPr>
        <w:t xml:space="preserve"> предоставляет только одну – кредит на покупку готового жилья. Процентная ставка по кредиту – от 9,5 % годовых, </w:t>
      </w:r>
      <w:r w:rsidR="00286AFD" w:rsidRPr="001528C9">
        <w:rPr>
          <w:rFonts w:ascii="Times New Roman" w:hAnsi="Times New Roman" w:cs="Times New Roman"/>
          <w:sz w:val="20"/>
          <w:szCs w:val="20"/>
        </w:rPr>
        <w:t xml:space="preserve"> Срок кредита – от 1 года до 20 лет. Кредит предоставляется в размере от 450 000 рублей до 10 000 000 рублей</w:t>
      </w:r>
      <w:r w:rsidR="00357088" w:rsidRPr="001528C9">
        <w:rPr>
          <w:rFonts w:ascii="Times New Roman" w:hAnsi="Times New Roman" w:cs="Times New Roman"/>
          <w:sz w:val="20"/>
          <w:szCs w:val="20"/>
        </w:rPr>
        <w:t xml:space="preserve"> [</w:t>
      </w:r>
      <w:r w:rsidR="00E306F2">
        <w:rPr>
          <w:rFonts w:ascii="Times New Roman" w:hAnsi="Times New Roman" w:cs="Times New Roman"/>
          <w:sz w:val="20"/>
          <w:szCs w:val="20"/>
        </w:rPr>
        <w:t>11</w:t>
      </w:r>
      <w:r w:rsidR="00357088" w:rsidRPr="001528C9">
        <w:rPr>
          <w:rFonts w:ascii="Times New Roman" w:hAnsi="Times New Roman" w:cs="Times New Roman"/>
          <w:sz w:val="20"/>
          <w:szCs w:val="20"/>
        </w:rPr>
        <w:t>]</w:t>
      </w:r>
      <w:r w:rsidR="00286AFD" w:rsidRPr="001528C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94D39" w:rsidRPr="00AE7DE6" w:rsidRDefault="00194D39" w:rsidP="00194D39">
      <w:pPr>
        <w:spacing w:after="0" w:line="240" w:lineRule="auto"/>
        <w:ind w:firstLine="284"/>
        <w:jc w:val="center"/>
        <w:rPr>
          <w:rFonts w:ascii="Times New Roman" w:hAnsi="Times New Roman" w:cs="Times New Roman"/>
          <w:smallCaps/>
          <w:color w:val="000000"/>
          <w:sz w:val="20"/>
          <w:szCs w:val="20"/>
        </w:rPr>
      </w:pPr>
    </w:p>
    <w:p w:rsidR="00194D39" w:rsidRPr="00AE7DE6" w:rsidRDefault="00194D39" w:rsidP="00194D39">
      <w:pPr>
        <w:spacing w:after="0" w:line="240" w:lineRule="auto"/>
        <w:ind w:firstLine="284"/>
        <w:jc w:val="center"/>
        <w:rPr>
          <w:rFonts w:ascii="Times New Roman" w:hAnsi="Times New Roman" w:cs="Times New Roman"/>
          <w:smallCaps/>
          <w:color w:val="000000"/>
          <w:sz w:val="20"/>
          <w:szCs w:val="20"/>
        </w:rPr>
      </w:pPr>
      <w:r w:rsidRPr="00194D39">
        <w:rPr>
          <w:rFonts w:ascii="Times New Roman" w:hAnsi="Times New Roman" w:cs="Times New Roman"/>
          <w:smallCaps/>
          <w:color w:val="000000"/>
          <w:sz w:val="20"/>
          <w:szCs w:val="20"/>
          <w:lang w:val="en-US"/>
        </w:rPr>
        <w:t>VI</w:t>
      </w:r>
      <w:r w:rsidRPr="00AE7DE6">
        <w:rPr>
          <w:rFonts w:ascii="Times New Roman" w:hAnsi="Times New Roman" w:cs="Times New Roman"/>
          <w:smallCaps/>
          <w:color w:val="000000"/>
          <w:sz w:val="20"/>
          <w:szCs w:val="20"/>
        </w:rPr>
        <w:t>. Выводы и заключение</w:t>
      </w:r>
    </w:p>
    <w:p w:rsidR="00194D39" w:rsidRPr="00AE7DE6" w:rsidRDefault="00194D39" w:rsidP="00194D39">
      <w:pPr>
        <w:spacing w:after="0" w:line="240" w:lineRule="auto"/>
        <w:ind w:firstLine="284"/>
        <w:jc w:val="center"/>
        <w:rPr>
          <w:rFonts w:ascii="Times New Roman" w:hAnsi="Times New Roman" w:cs="Times New Roman"/>
          <w:smallCaps/>
          <w:color w:val="000000"/>
          <w:sz w:val="20"/>
          <w:szCs w:val="20"/>
        </w:rPr>
      </w:pPr>
    </w:p>
    <w:p w:rsidR="0013271E" w:rsidRPr="001528C9" w:rsidRDefault="000C2C94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>Наименьшая процентная ставка из рассмотренных банков наблюда</w:t>
      </w:r>
      <w:r w:rsidR="00AE7DE6">
        <w:rPr>
          <w:rFonts w:ascii="Times New Roman" w:hAnsi="Times New Roman" w:cs="Times New Roman"/>
          <w:sz w:val="20"/>
          <w:szCs w:val="20"/>
        </w:rPr>
        <w:t>е</w:t>
      </w:r>
      <w:r w:rsidRPr="001528C9">
        <w:rPr>
          <w:rFonts w:ascii="Times New Roman" w:hAnsi="Times New Roman" w:cs="Times New Roman"/>
          <w:sz w:val="20"/>
          <w:szCs w:val="20"/>
        </w:rPr>
        <w:t xml:space="preserve">тся </w:t>
      </w:r>
      <w:r w:rsidR="00AE7DE6">
        <w:rPr>
          <w:rFonts w:ascii="Times New Roman" w:hAnsi="Times New Roman" w:cs="Times New Roman"/>
          <w:sz w:val="20"/>
          <w:szCs w:val="20"/>
        </w:rPr>
        <w:t xml:space="preserve">по </w:t>
      </w:r>
      <w:r w:rsidRPr="001528C9">
        <w:rPr>
          <w:rFonts w:ascii="Times New Roman" w:hAnsi="Times New Roman" w:cs="Times New Roman"/>
          <w:sz w:val="20"/>
          <w:szCs w:val="20"/>
        </w:rPr>
        <w:t>кредитам ПАО «Сбербанк России» (</w:t>
      </w:r>
      <w:r w:rsidR="007473D4" w:rsidRPr="001528C9">
        <w:rPr>
          <w:rFonts w:ascii="Times New Roman" w:hAnsi="Times New Roman" w:cs="Times New Roman"/>
          <w:sz w:val="20"/>
          <w:szCs w:val="20"/>
        </w:rPr>
        <w:t>ипотека с использованием материнского капитала и ипотека на приобретение строящегося жилья или жилья в готовой новостройке у компании-продавца).  Максимальный срок кредитования в среднем составляет 30 лет.  Наименьшее количество требований, предъявляемых к заёмщику у одного направления ипотечного кредитования ПАО «Банк ВТБ 24»</w:t>
      </w:r>
      <w:r w:rsidR="0071111B" w:rsidRPr="001528C9">
        <w:rPr>
          <w:rFonts w:ascii="Times New Roman" w:hAnsi="Times New Roman" w:cs="Times New Roman"/>
          <w:sz w:val="20"/>
          <w:szCs w:val="20"/>
        </w:rPr>
        <w:t xml:space="preserve">, но процентная ставка по данному кредиту существенно выше, чем у остальных – 10,7 % годовых, объём первоначального взноса составляет 12 % и максимальная сумма кредитования меньше, чем в других направлениях. </w:t>
      </w:r>
      <w:r w:rsidR="00AE7DE6" w:rsidRPr="001528C9">
        <w:rPr>
          <w:rFonts w:ascii="Times New Roman" w:hAnsi="Times New Roman" w:cs="Times New Roman"/>
          <w:sz w:val="20"/>
          <w:szCs w:val="20"/>
        </w:rPr>
        <w:t xml:space="preserve">Необходимо отметить, что в </w:t>
      </w:r>
      <w:r w:rsidR="00AE7DE6">
        <w:rPr>
          <w:rFonts w:ascii="Times New Roman" w:hAnsi="Times New Roman" w:cs="Times New Roman"/>
          <w:sz w:val="20"/>
          <w:szCs w:val="20"/>
        </w:rPr>
        <w:t xml:space="preserve">ПАО «Сбербанк России», </w:t>
      </w:r>
      <w:r w:rsidR="00AE7DE6" w:rsidRPr="001528C9">
        <w:rPr>
          <w:rFonts w:ascii="Times New Roman" w:hAnsi="Times New Roman" w:cs="Times New Roman"/>
          <w:sz w:val="20"/>
          <w:szCs w:val="20"/>
        </w:rPr>
        <w:t>АО «Газпромбанк»</w:t>
      </w:r>
      <w:r w:rsidR="00AE7DE6">
        <w:rPr>
          <w:rFonts w:ascii="Times New Roman" w:hAnsi="Times New Roman" w:cs="Times New Roman"/>
          <w:sz w:val="20"/>
          <w:szCs w:val="20"/>
        </w:rPr>
        <w:t xml:space="preserve">, </w:t>
      </w:r>
      <w:r w:rsidR="00AE7DE6" w:rsidRPr="001528C9">
        <w:rPr>
          <w:rFonts w:ascii="Times New Roman" w:hAnsi="Times New Roman" w:cs="Times New Roman"/>
          <w:sz w:val="20"/>
          <w:szCs w:val="20"/>
        </w:rPr>
        <w:t>ПАО «Банк ВТБ 24» существует специальная программа ипотечного кредитования для военных.</w:t>
      </w:r>
    </w:p>
    <w:p w:rsidR="00357088" w:rsidRPr="001528C9" w:rsidRDefault="00EA3820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 xml:space="preserve">Развитие сектора ипотечного кредитования положительно влияет на состояние банковской системы и экономики страны в целом. Ипотечное кредитование в настоящее время динамично развивается. Увеличение объёма предоставленных кредитов, </w:t>
      </w:r>
      <w:r w:rsidR="00AD57BC" w:rsidRPr="001528C9">
        <w:rPr>
          <w:rFonts w:ascii="Times New Roman" w:hAnsi="Times New Roman" w:cs="Times New Roman"/>
          <w:sz w:val="20"/>
          <w:szCs w:val="20"/>
        </w:rPr>
        <w:t xml:space="preserve">увеличения срока кредитования, уменьшение средневзвешенной ставки </w:t>
      </w:r>
      <w:r w:rsidR="00AD57BC" w:rsidRPr="001528C9">
        <w:rPr>
          <w:rFonts w:ascii="Times New Roman" w:hAnsi="Times New Roman" w:cs="Times New Roman"/>
          <w:sz w:val="20"/>
          <w:szCs w:val="20"/>
        </w:rPr>
        <w:sym w:font="Symbol" w:char="F02D"/>
      </w:r>
      <w:r w:rsidR="00AD57BC" w:rsidRPr="001528C9">
        <w:rPr>
          <w:rFonts w:ascii="Times New Roman" w:hAnsi="Times New Roman" w:cs="Times New Roman"/>
          <w:sz w:val="20"/>
          <w:szCs w:val="20"/>
        </w:rPr>
        <w:t xml:space="preserve"> всё это говорит о развитии рынка ипотеки в России. </w:t>
      </w:r>
    </w:p>
    <w:p w:rsidR="00AD57BC" w:rsidRPr="001528C9" w:rsidRDefault="00AD57BC" w:rsidP="00194D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E7DE6" w:rsidRPr="00AE7DE6" w:rsidRDefault="00AE7DE6" w:rsidP="00AE7DE6">
      <w:pPr>
        <w:spacing w:after="0" w:line="240" w:lineRule="auto"/>
        <w:ind w:firstLine="284"/>
        <w:jc w:val="center"/>
        <w:rPr>
          <w:rFonts w:ascii="Times New Roman" w:hAnsi="Times New Roman" w:cs="Times New Roman"/>
          <w:smallCaps/>
          <w:color w:val="000000"/>
          <w:sz w:val="20"/>
          <w:szCs w:val="20"/>
          <w:lang w:val="en-US"/>
        </w:rPr>
      </w:pPr>
      <w:r w:rsidRPr="00AE7DE6">
        <w:rPr>
          <w:rFonts w:ascii="Times New Roman" w:hAnsi="Times New Roman" w:cs="Times New Roman"/>
          <w:smallCaps/>
          <w:color w:val="000000"/>
          <w:sz w:val="20"/>
          <w:szCs w:val="20"/>
          <w:lang w:val="en-US"/>
        </w:rPr>
        <w:t>Список литературы</w:t>
      </w:r>
    </w:p>
    <w:p w:rsidR="008A7208" w:rsidRPr="001528C9" w:rsidRDefault="008A7208" w:rsidP="00060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8A7208" w:rsidRPr="001528C9" w:rsidRDefault="005B1962" w:rsidP="0006032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 xml:space="preserve">Федеральный закон «Об ипотеке» </w:t>
      </w:r>
      <w:r w:rsidRPr="001528C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[Электронный ресурс]</w:t>
      </w:r>
      <w:proofErr w:type="gramStart"/>
      <w:r w:rsidRPr="001528C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:</w:t>
      </w:r>
      <w:proofErr w:type="gramEnd"/>
      <w:r w:rsidR="00AE7DE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1528C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принят от 16.</w:t>
      </w:r>
      <w:r w:rsidRPr="001528C9">
        <w:rPr>
          <w:rFonts w:ascii="Times New Roman" w:hAnsi="Times New Roman" w:cs="Times New Roman"/>
          <w:sz w:val="20"/>
          <w:szCs w:val="20"/>
        </w:rPr>
        <w:t xml:space="preserve"> </w:t>
      </w:r>
      <w:r w:rsidRPr="001528C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07.1998 N 102-ФЗ (ред. от 01.07.2017) /Справочно-правовая система</w:t>
      </w:r>
      <w:r w:rsidR="00AE7DE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1528C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"</w:t>
      </w:r>
      <w:proofErr w:type="spellStart"/>
      <w:r w:rsidRPr="001528C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КонсультантПлюс</w:t>
      </w:r>
      <w:proofErr w:type="spellEnd"/>
      <w:r w:rsidRPr="001528C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"//</w:t>
      </w:r>
      <w:r w:rsidR="00AE7DE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1528C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Режим</w:t>
      </w:r>
      <w:r w:rsidR="00AE7DE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1528C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доступа:</w:t>
      </w:r>
      <w:r w:rsidR="00AE7DE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1528C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http://www.consultant.ru (дата обращения</w:t>
      </w:r>
      <w:r w:rsidR="005079FF" w:rsidRPr="001528C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: </w:t>
      </w:r>
      <w:r w:rsidR="00E306F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01</w:t>
      </w:r>
      <w:r w:rsidRPr="001528C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.11.2017). </w:t>
      </w:r>
    </w:p>
    <w:p w:rsidR="00A61835" w:rsidRPr="001528C9" w:rsidRDefault="00A61835" w:rsidP="0006032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528C9">
        <w:rPr>
          <w:rFonts w:ascii="Times New Roman" w:hAnsi="Times New Roman" w:cs="Times New Roman"/>
          <w:sz w:val="20"/>
          <w:szCs w:val="20"/>
        </w:rPr>
        <w:t>Асаул</w:t>
      </w:r>
      <w:proofErr w:type="spellEnd"/>
      <w:r w:rsidRPr="001528C9">
        <w:rPr>
          <w:rFonts w:ascii="Times New Roman" w:hAnsi="Times New Roman" w:cs="Times New Roman"/>
          <w:sz w:val="20"/>
          <w:szCs w:val="20"/>
        </w:rPr>
        <w:t xml:space="preserve">, А. Н. </w:t>
      </w:r>
      <w:r w:rsidR="00885D0C" w:rsidRPr="001528C9">
        <w:rPr>
          <w:rFonts w:ascii="Times New Roman" w:hAnsi="Times New Roman" w:cs="Times New Roman"/>
          <w:sz w:val="20"/>
          <w:szCs w:val="20"/>
        </w:rPr>
        <w:t xml:space="preserve">Экономика недвижимости [Текст] /А. Н. </w:t>
      </w:r>
      <w:proofErr w:type="spellStart"/>
      <w:r w:rsidR="00885D0C" w:rsidRPr="001528C9">
        <w:rPr>
          <w:rFonts w:ascii="Times New Roman" w:hAnsi="Times New Roman" w:cs="Times New Roman"/>
          <w:sz w:val="20"/>
          <w:szCs w:val="20"/>
        </w:rPr>
        <w:t>Асаул</w:t>
      </w:r>
      <w:proofErr w:type="spellEnd"/>
      <w:r w:rsidR="00885D0C" w:rsidRPr="001528C9">
        <w:rPr>
          <w:rFonts w:ascii="Times New Roman" w:hAnsi="Times New Roman" w:cs="Times New Roman"/>
          <w:sz w:val="20"/>
          <w:szCs w:val="20"/>
        </w:rPr>
        <w:t xml:space="preserve">, В. К. </w:t>
      </w:r>
      <w:proofErr w:type="spellStart"/>
      <w:r w:rsidR="00885D0C" w:rsidRPr="001528C9">
        <w:rPr>
          <w:rFonts w:ascii="Times New Roman" w:hAnsi="Times New Roman" w:cs="Times New Roman"/>
          <w:sz w:val="20"/>
          <w:szCs w:val="20"/>
        </w:rPr>
        <w:t>Севек</w:t>
      </w:r>
      <w:proofErr w:type="spellEnd"/>
      <w:r w:rsidR="00885D0C" w:rsidRPr="001528C9">
        <w:rPr>
          <w:rFonts w:ascii="Times New Roman" w:hAnsi="Times New Roman" w:cs="Times New Roman"/>
          <w:sz w:val="20"/>
          <w:szCs w:val="20"/>
        </w:rPr>
        <w:t xml:space="preserve">, М. К. </w:t>
      </w:r>
      <w:proofErr w:type="spellStart"/>
      <w:r w:rsidR="00885D0C" w:rsidRPr="001528C9">
        <w:rPr>
          <w:rFonts w:ascii="Times New Roman" w:hAnsi="Times New Roman" w:cs="Times New Roman"/>
          <w:sz w:val="20"/>
          <w:szCs w:val="20"/>
        </w:rPr>
        <w:t>Соян</w:t>
      </w:r>
      <w:proofErr w:type="spellEnd"/>
      <w:r w:rsidR="00885D0C" w:rsidRPr="001528C9">
        <w:rPr>
          <w:rFonts w:ascii="Times New Roman" w:hAnsi="Times New Roman" w:cs="Times New Roman"/>
          <w:sz w:val="20"/>
          <w:szCs w:val="20"/>
        </w:rPr>
        <w:t xml:space="preserve">// – Кызыл: Изд-во </w:t>
      </w:r>
      <w:proofErr w:type="spellStart"/>
      <w:r w:rsidR="00885D0C" w:rsidRPr="001528C9">
        <w:rPr>
          <w:rFonts w:ascii="Times New Roman" w:hAnsi="Times New Roman" w:cs="Times New Roman"/>
          <w:sz w:val="20"/>
          <w:szCs w:val="20"/>
        </w:rPr>
        <w:t>ТувГУ</w:t>
      </w:r>
      <w:proofErr w:type="spellEnd"/>
      <w:r w:rsidR="00885D0C" w:rsidRPr="001528C9">
        <w:rPr>
          <w:rFonts w:ascii="Times New Roman" w:hAnsi="Times New Roman" w:cs="Times New Roman"/>
          <w:sz w:val="20"/>
          <w:szCs w:val="20"/>
        </w:rPr>
        <w:t>, 2012. – 410 с.</w:t>
      </w:r>
    </w:p>
    <w:p w:rsidR="00AD57BC" w:rsidRPr="001528C9" w:rsidRDefault="00AD57BC" w:rsidP="0006032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528C9">
        <w:rPr>
          <w:rFonts w:ascii="Times New Roman" w:hAnsi="Times New Roman" w:cs="Times New Roman"/>
          <w:sz w:val="20"/>
          <w:szCs w:val="20"/>
        </w:rPr>
        <w:t>Назарчук</w:t>
      </w:r>
      <w:proofErr w:type="spellEnd"/>
      <w:r w:rsidRPr="001528C9">
        <w:rPr>
          <w:rFonts w:ascii="Times New Roman" w:hAnsi="Times New Roman" w:cs="Times New Roman"/>
          <w:sz w:val="20"/>
          <w:szCs w:val="20"/>
        </w:rPr>
        <w:t xml:space="preserve">, Н. П. </w:t>
      </w:r>
      <w:r w:rsidR="00A61835" w:rsidRPr="001528C9">
        <w:rPr>
          <w:rFonts w:ascii="Times New Roman" w:hAnsi="Times New Roman" w:cs="Times New Roman"/>
          <w:sz w:val="20"/>
          <w:szCs w:val="20"/>
        </w:rPr>
        <w:t>Ипотечное кредитование как инструмент решения жилищных проблем в Российской Федерации [Текст]</w:t>
      </w:r>
      <w:proofErr w:type="gramStart"/>
      <w:r w:rsidR="00A61835" w:rsidRPr="001528C9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A61835" w:rsidRPr="001528C9">
        <w:rPr>
          <w:rFonts w:ascii="Times New Roman" w:hAnsi="Times New Roman" w:cs="Times New Roman"/>
          <w:sz w:val="20"/>
          <w:szCs w:val="20"/>
        </w:rPr>
        <w:t xml:space="preserve"> монография / Н. П. </w:t>
      </w:r>
      <w:proofErr w:type="spellStart"/>
      <w:r w:rsidR="00A61835" w:rsidRPr="001528C9">
        <w:rPr>
          <w:rFonts w:ascii="Times New Roman" w:hAnsi="Times New Roman" w:cs="Times New Roman"/>
          <w:sz w:val="20"/>
          <w:szCs w:val="20"/>
        </w:rPr>
        <w:t>Назарчук</w:t>
      </w:r>
      <w:proofErr w:type="spellEnd"/>
      <w:r w:rsidR="00A61835" w:rsidRPr="001528C9">
        <w:rPr>
          <w:rFonts w:ascii="Times New Roman" w:hAnsi="Times New Roman" w:cs="Times New Roman"/>
          <w:sz w:val="20"/>
          <w:szCs w:val="20"/>
        </w:rPr>
        <w:t>. – Тамбов</w:t>
      </w:r>
      <w:proofErr w:type="gramStart"/>
      <w:r w:rsidR="00A61835" w:rsidRPr="001528C9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A61835" w:rsidRPr="001528C9">
        <w:rPr>
          <w:rFonts w:ascii="Times New Roman" w:hAnsi="Times New Roman" w:cs="Times New Roman"/>
          <w:sz w:val="20"/>
          <w:szCs w:val="20"/>
        </w:rPr>
        <w:t xml:space="preserve"> Изд-во ФГБОУ ВПО «ТГТУ», 2014. – 152 с.</w:t>
      </w:r>
    </w:p>
    <w:p w:rsidR="00E10530" w:rsidRPr="001528C9" w:rsidRDefault="00E10530" w:rsidP="0006032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bdr w:val="none" w:sz="0" w:space="0" w:color="auto" w:frame="1"/>
          <w:lang w:eastAsia="ru-RU"/>
        </w:rPr>
        <w:t>Средняя ставка по ипотеке в РФ к концу 2017 г упа</w:t>
      </w:r>
      <w:r w:rsidR="001063C2" w:rsidRPr="001528C9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bdr w:val="none" w:sz="0" w:space="0" w:color="auto" w:frame="1"/>
          <w:lang w:eastAsia="ru-RU"/>
        </w:rPr>
        <w:t xml:space="preserve">дет ниже 10% </w:t>
      </w:r>
      <w:r w:rsidR="001063C2" w:rsidRPr="001528C9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1528C9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bdr w:val="none" w:sz="0" w:space="0" w:color="auto" w:frame="1"/>
          <w:lang w:eastAsia="ru-RU"/>
        </w:rPr>
        <w:t xml:space="preserve"> банки </w:t>
      </w:r>
      <w:r w:rsidRPr="001528C9">
        <w:rPr>
          <w:rFonts w:ascii="Times New Roman" w:hAnsi="Times New Roman" w:cs="Times New Roman"/>
          <w:sz w:val="20"/>
          <w:szCs w:val="20"/>
        </w:rPr>
        <w:t xml:space="preserve">[Электронный ресурс] /Информационное агентство </w:t>
      </w:r>
      <w:r w:rsidRPr="001528C9">
        <w:rPr>
          <w:rFonts w:ascii="Times New Roman" w:hAnsi="Times New Roman" w:cs="Times New Roman"/>
          <w:sz w:val="20"/>
          <w:szCs w:val="20"/>
        </w:rPr>
        <w:sym w:font="Symbol" w:char="F02D"/>
      </w:r>
      <w:r w:rsidRPr="001528C9">
        <w:rPr>
          <w:rFonts w:ascii="Times New Roman" w:hAnsi="Times New Roman" w:cs="Times New Roman"/>
          <w:sz w:val="20"/>
          <w:szCs w:val="20"/>
        </w:rPr>
        <w:t xml:space="preserve"> РИА Недвижимость//</w:t>
      </w:r>
      <w:r w:rsidR="00AE7DE6">
        <w:rPr>
          <w:rFonts w:ascii="Times New Roman" w:hAnsi="Times New Roman" w:cs="Times New Roman"/>
          <w:sz w:val="20"/>
          <w:szCs w:val="20"/>
        </w:rPr>
        <w:t xml:space="preserve"> </w:t>
      </w:r>
      <w:r w:rsidRPr="001528C9">
        <w:rPr>
          <w:rFonts w:ascii="Times New Roman" w:hAnsi="Times New Roman" w:cs="Times New Roman"/>
          <w:sz w:val="20"/>
          <w:szCs w:val="20"/>
        </w:rPr>
        <w:t>Режим</w:t>
      </w:r>
      <w:r w:rsidR="00AE7DE6">
        <w:rPr>
          <w:rFonts w:ascii="Times New Roman" w:hAnsi="Times New Roman" w:cs="Times New Roman"/>
          <w:sz w:val="20"/>
          <w:szCs w:val="20"/>
        </w:rPr>
        <w:t xml:space="preserve"> </w:t>
      </w:r>
      <w:r w:rsidRPr="001528C9">
        <w:rPr>
          <w:rFonts w:ascii="Times New Roman" w:hAnsi="Times New Roman" w:cs="Times New Roman"/>
          <w:sz w:val="20"/>
          <w:szCs w:val="20"/>
        </w:rPr>
        <w:t>доступа:</w:t>
      </w:r>
      <w:r w:rsidR="00AE7DE6">
        <w:rPr>
          <w:rFonts w:ascii="Times New Roman" w:hAnsi="Times New Roman" w:cs="Times New Roman"/>
          <w:sz w:val="20"/>
          <w:szCs w:val="20"/>
        </w:rPr>
        <w:t xml:space="preserve"> </w:t>
      </w:r>
      <w:r w:rsidRPr="001528C9">
        <w:rPr>
          <w:rFonts w:ascii="Times New Roman" w:hAnsi="Times New Roman" w:cs="Times New Roman"/>
          <w:sz w:val="20"/>
          <w:szCs w:val="20"/>
        </w:rPr>
        <w:t xml:space="preserve">https://realty.ria.ru/mortgage_news/20170828/408877506.html </w:t>
      </w:r>
      <w:r w:rsidR="005079FF" w:rsidRPr="001528C9">
        <w:rPr>
          <w:rFonts w:ascii="Times New Roman" w:hAnsi="Times New Roman" w:cs="Times New Roman"/>
          <w:sz w:val="20"/>
          <w:szCs w:val="20"/>
        </w:rPr>
        <w:t xml:space="preserve">(дата обращения: </w:t>
      </w:r>
      <w:r w:rsidR="00E306F2">
        <w:rPr>
          <w:rFonts w:ascii="Times New Roman" w:hAnsi="Times New Roman" w:cs="Times New Roman"/>
          <w:sz w:val="20"/>
          <w:szCs w:val="20"/>
        </w:rPr>
        <w:t>01</w:t>
      </w:r>
      <w:r w:rsidRPr="001528C9">
        <w:rPr>
          <w:rFonts w:ascii="Times New Roman" w:hAnsi="Times New Roman" w:cs="Times New Roman"/>
          <w:sz w:val="20"/>
          <w:szCs w:val="20"/>
        </w:rPr>
        <w:t>.11.2017)</w:t>
      </w:r>
      <w:r w:rsidR="0076625C" w:rsidRPr="001528C9">
        <w:rPr>
          <w:rFonts w:ascii="Times New Roman" w:hAnsi="Times New Roman" w:cs="Times New Roman"/>
          <w:sz w:val="20"/>
          <w:szCs w:val="20"/>
        </w:rPr>
        <w:t>.</w:t>
      </w:r>
    </w:p>
    <w:p w:rsidR="00E306F2" w:rsidRPr="001528C9" w:rsidRDefault="00E306F2" w:rsidP="00E306F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lastRenderedPageBreak/>
        <w:t xml:space="preserve">Зотова, Е. О. Ипотечное кредитование: динамика ипотечного кредитования в России [Электронный ресурс] /Е. О. Зотова </w:t>
      </w:r>
      <w:r w:rsidRPr="001528C9">
        <w:rPr>
          <w:rFonts w:ascii="Times New Roman" w:hAnsi="Times New Roman" w:cs="Times New Roman"/>
          <w:sz w:val="20"/>
          <w:szCs w:val="20"/>
        </w:rPr>
        <w:sym w:font="Symbol" w:char="F02D"/>
      </w:r>
      <w:r w:rsidRPr="001528C9">
        <w:rPr>
          <w:rFonts w:ascii="Times New Roman" w:hAnsi="Times New Roman" w:cs="Times New Roman"/>
          <w:sz w:val="20"/>
          <w:szCs w:val="20"/>
        </w:rPr>
        <w:t xml:space="preserve"> Тамбов </w:t>
      </w:r>
      <w:r w:rsidRPr="001528C9">
        <w:rPr>
          <w:rFonts w:ascii="Times New Roman" w:hAnsi="Times New Roman" w:cs="Times New Roman"/>
          <w:sz w:val="20"/>
          <w:szCs w:val="20"/>
        </w:rPr>
        <w:sym w:font="Symbol" w:char="F02D"/>
      </w:r>
      <w:r w:rsidRPr="001528C9">
        <w:rPr>
          <w:rFonts w:ascii="Times New Roman" w:hAnsi="Times New Roman" w:cs="Times New Roman"/>
          <w:sz w:val="20"/>
          <w:szCs w:val="20"/>
        </w:rPr>
        <w:t xml:space="preserve"> Тамбовский государственный университет имени Г.Р. Державина, 2017 </w:t>
      </w:r>
      <w:r w:rsidRPr="001528C9">
        <w:rPr>
          <w:rFonts w:ascii="Times New Roman" w:hAnsi="Times New Roman" w:cs="Times New Roman"/>
          <w:sz w:val="20"/>
          <w:szCs w:val="20"/>
        </w:rPr>
        <w:sym w:font="Symbol" w:char="F02D"/>
      </w:r>
      <w:r w:rsidRPr="001528C9">
        <w:rPr>
          <w:rFonts w:ascii="Times New Roman" w:hAnsi="Times New Roman" w:cs="Times New Roman"/>
          <w:sz w:val="20"/>
          <w:szCs w:val="20"/>
        </w:rPr>
        <w:t xml:space="preserve"> Режим доступа: https://elibrary.ru/item.asp?id=29137391&amp; </w:t>
      </w:r>
      <w:r w:rsidRPr="001528C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(дата обращения: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01</w:t>
      </w:r>
      <w:r w:rsidRPr="001528C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.11.2017).</w:t>
      </w:r>
    </w:p>
    <w:p w:rsidR="005079FF" w:rsidRPr="001528C9" w:rsidRDefault="00E306F2" w:rsidP="00E306F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06F2">
        <w:rPr>
          <w:rFonts w:ascii="Times New Roman" w:hAnsi="Times New Roman" w:cs="Times New Roman"/>
          <w:sz w:val="20"/>
          <w:szCs w:val="20"/>
        </w:rPr>
        <w:t>Тарута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306F2">
        <w:rPr>
          <w:rFonts w:ascii="Times New Roman" w:hAnsi="Times New Roman" w:cs="Times New Roman"/>
          <w:sz w:val="20"/>
          <w:szCs w:val="20"/>
        </w:rPr>
        <w:t xml:space="preserve"> С. В.  </w:t>
      </w:r>
      <w:r w:rsidR="00060328" w:rsidRPr="00E306F2">
        <w:rPr>
          <w:rFonts w:ascii="Times New Roman" w:hAnsi="Times New Roman" w:cs="Times New Roman"/>
          <w:sz w:val="20"/>
          <w:szCs w:val="20"/>
        </w:rPr>
        <w:t xml:space="preserve">Обзор ипотечного кредитования в Омске и Омской области за 2016 год / </w:t>
      </w:r>
      <w:r w:rsidRPr="00E306F2">
        <w:rPr>
          <w:rFonts w:ascii="Times New Roman" w:hAnsi="Times New Roman" w:cs="Times New Roman"/>
          <w:sz w:val="20"/>
          <w:szCs w:val="20"/>
        </w:rPr>
        <w:t>С. В.  Тарута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306F2">
        <w:rPr>
          <w:rFonts w:ascii="Times New Roman" w:hAnsi="Times New Roman" w:cs="Times New Roman"/>
          <w:sz w:val="20"/>
          <w:szCs w:val="20"/>
        </w:rPr>
        <w:t xml:space="preserve"> А. В. </w:t>
      </w:r>
      <w:r w:rsidR="00060328" w:rsidRPr="00E306F2">
        <w:rPr>
          <w:rFonts w:ascii="Times New Roman" w:hAnsi="Times New Roman" w:cs="Times New Roman"/>
          <w:sz w:val="20"/>
          <w:szCs w:val="20"/>
        </w:rPr>
        <w:t xml:space="preserve">Кузнецова // Экономика сферы сервиса: проблемы и перспективы : материалы III Межвузовской научно-практической конференции (г. Омск, декабрь 2016 г.)   под </w:t>
      </w:r>
      <w:proofErr w:type="spellStart"/>
      <w:r w:rsidR="00060328" w:rsidRPr="00E306F2">
        <w:rPr>
          <w:rFonts w:ascii="Times New Roman" w:hAnsi="Times New Roman" w:cs="Times New Roman"/>
          <w:sz w:val="20"/>
          <w:szCs w:val="20"/>
        </w:rPr>
        <w:t>общ</w:t>
      </w:r>
      <w:proofErr w:type="gramStart"/>
      <w:r w:rsidR="00060328" w:rsidRPr="00E306F2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060328" w:rsidRPr="00E306F2">
        <w:rPr>
          <w:rFonts w:ascii="Times New Roman" w:hAnsi="Times New Roman" w:cs="Times New Roman"/>
          <w:sz w:val="20"/>
          <w:szCs w:val="20"/>
        </w:rPr>
        <w:t>ед</w:t>
      </w:r>
      <w:proofErr w:type="spellEnd"/>
      <w:r w:rsidR="00060328" w:rsidRPr="00E306F2">
        <w:rPr>
          <w:rFonts w:ascii="Times New Roman" w:hAnsi="Times New Roman" w:cs="Times New Roman"/>
          <w:sz w:val="20"/>
          <w:szCs w:val="20"/>
        </w:rPr>
        <w:t xml:space="preserve">. А.С. </w:t>
      </w:r>
      <w:proofErr w:type="spellStart"/>
      <w:r w:rsidR="00060328" w:rsidRPr="00E306F2">
        <w:rPr>
          <w:rFonts w:ascii="Times New Roman" w:hAnsi="Times New Roman" w:cs="Times New Roman"/>
          <w:sz w:val="20"/>
          <w:szCs w:val="20"/>
        </w:rPr>
        <w:t>Полынского</w:t>
      </w:r>
      <w:proofErr w:type="spellEnd"/>
      <w:r w:rsidR="00060328" w:rsidRPr="00E306F2">
        <w:rPr>
          <w:rFonts w:ascii="Times New Roman" w:hAnsi="Times New Roman" w:cs="Times New Roman"/>
          <w:sz w:val="20"/>
          <w:szCs w:val="20"/>
        </w:rPr>
        <w:t>. – Омск</w:t>
      </w:r>
      <w:proofErr w:type="gramStart"/>
      <w:r w:rsidR="00060328" w:rsidRPr="00E306F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060328" w:rsidRPr="00E306F2">
        <w:rPr>
          <w:rFonts w:ascii="Times New Roman" w:hAnsi="Times New Roman" w:cs="Times New Roman"/>
          <w:sz w:val="20"/>
          <w:szCs w:val="20"/>
        </w:rPr>
        <w:t xml:space="preserve"> Изд-во </w:t>
      </w:r>
      <w:proofErr w:type="spellStart"/>
      <w:r w:rsidR="00060328" w:rsidRPr="00E306F2">
        <w:rPr>
          <w:rFonts w:ascii="Times New Roman" w:hAnsi="Times New Roman" w:cs="Times New Roman"/>
          <w:sz w:val="20"/>
          <w:szCs w:val="20"/>
        </w:rPr>
        <w:t>ОмГТУ</w:t>
      </w:r>
      <w:proofErr w:type="spellEnd"/>
      <w:r w:rsidR="00060328" w:rsidRPr="00E306F2">
        <w:rPr>
          <w:rFonts w:ascii="Times New Roman" w:hAnsi="Times New Roman" w:cs="Times New Roman"/>
          <w:sz w:val="20"/>
          <w:szCs w:val="20"/>
        </w:rPr>
        <w:t>, 2017. – С. 53-55.</w:t>
      </w:r>
    </w:p>
    <w:p w:rsidR="00E306F2" w:rsidRPr="001528C9" w:rsidRDefault="00E306F2" w:rsidP="00E306F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 xml:space="preserve">Официальный сайт Банка России [Электронный ресурс]. Режим доступа: http://www.cbr.ru/ (дата обращения: 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1528C9">
        <w:rPr>
          <w:rFonts w:ascii="Times New Roman" w:hAnsi="Times New Roman" w:cs="Times New Roman"/>
          <w:sz w:val="20"/>
          <w:szCs w:val="20"/>
        </w:rPr>
        <w:t>.11.2017).</w:t>
      </w:r>
    </w:p>
    <w:p w:rsidR="00E306F2" w:rsidRPr="001528C9" w:rsidRDefault="00E306F2" w:rsidP="00E306F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 xml:space="preserve">Официальный сайт ПАО «Сбербанк России» [Электронный ресурс]. Режим доступа: http://www.sberbank.ru/ru/person (дата обращения: 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1528C9">
        <w:rPr>
          <w:rFonts w:ascii="Times New Roman" w:hAnsi="Times New Roman" w:cs="Times New Roman"/>
          <w:sz w:val="20"/>
          <w:szCs w:val="20"/>
        </w:rPr>
        <w:t>.11.2017)</w:t>
      </w:r>
    </w:p>
    <w:p w:rsidR="00E306F2" w:rsidRPr="001528C9" w:rsidRDefault="00E306F2" w:rsidP="00E306F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 xml:space="preserve">Официальный сайт АО «Газпромбанк» [Электронный ресурс]. Режим доступа: http://www.gazprombank.ru/ (дата обращения: 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1528C9">
        <w:rPr>
          <w:rFonts w:ascii="Times New Roman" w:hAnsi="Times New Roman" w:cs="Times New Roman"/>
          <w:sz w:val="20"/>
          <w:szCs w:val="20"/>
        </w:rPr>
        <w:t>.11.2017)</w:t>
      </w:r>
    </w:p>
    <w:p w:rsidR="00E306F2" w:rsidRPr="001528C9" w:rsidRDefault="00E306F2" w:rsidP="00E306F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28C9">
        <w:rPr>
          <w:rFonts w:ascii="Times New Roman" w:hAnsi="Times New Roman" w:cs="Times New Roman"/>
          <w:sz w:val="20"/>
          <w:szCs w:val="20"/>
        </w:rPr>
        <w:t xml:space="preserve">Официальный сайт ПАО «Банк ВТБ 24» [Электронный ресурс]. Режим доступа: https://www.vtb24.ru/ (дата обращения: 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1528C9">
        <w:rPr>
          <w:rFonts w:ascii="Times New Roman" w:hAnsi="Times New Roman" w:cs="Times New Roman"/>
          <w:sz w:val="20"/>
          <w:szCs w:val="20"/>
        </w:rPr>
        <w:t>.11.2017)</w:t>
      </w:r>
    </w:p>
    <w:p w:rsidR="00E306F2" w:rsidRDefault="00E306F2" w:rsidP="00E306F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06F2">
        <w:rPr>
          <w:rFonts w:ascii="Times New Roman" w:hAnsi="Times New Roman" w:cs="Times New Roman"/>
          <w:sz w:val="20"/>
          <w:szCs w:val="20"/>
        </w:rPr>
        <w:t>Официальный сайт АО «Банк жилищного финансирования» [Электронный ресурс]. Режим доступа: http://bgfbank.ru/ru/index.wbp (дата обращения: 12</w:t>
      </w:r>
      <w:r w:rsidRPr="00E306F2">
        <w:rPr>
          <w:rFonts w:ascii="Times New Roman" w:hAnsi="Times New Roman" w:cs="Times New Roman"/>
          <w:sz w:val="20"/>
          <w:szCs w:val="20"/>
        </w:rPr>
        <w:t>1</w:t>
      </w:r>
      <w:r w:rsidRPr="00E306F2">
        <w:rPr>
          <w:rFonts w:ascii="Times New Roman" w:hAnsi="Times New Roman" w:cs="Times New Roman"/>
          <w:sz w:val="20"/>
          <w:szCs w:val="20"/>
        </w:rPr>
        <w:t>.11.2017).</w:t>
      </w:r>
    </w:p>
    <w:p w:rsidR="00E306F2" w:rsidRPr="001528C9" w:rsidRDefault="00E306F2" w:rsidP="00E306F2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sectPr w:rsidR="00E306F2" w:rsidRPr="001528C9" w:rsidSect="00194D39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A83"/>
    <w:multiLevelType w:val="hybridMultilevel"/>
    <w:tmpl w:val="13B0BDFE"/>
    <w:lvl w:ilvl="0" w:tplc="0AF47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4F61"/>
    <w:multiLevelType w:val="hybridMultilevel"/>
    <w:tmpl w:val="8C5E85B2"/>
    <w:lvl w:ilvl="0" w:tplc="7D1AF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A26B7E"/>
    <w:multiLevelType w:val="multilevel"/>
    <w:tmpl w:val="3F142C0C"/>
    <w:lvl w:ilvl="0">
      <w:start w:val="1"/>
      <w:numFmt w:val="decimalZero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7BD"/>
    <w:rsid w:val="00004208"/>
    <w:rsid w:val="000043D5"/>
    <w:rsid w:val="0000554F"/>
    <w:rsid w:val="00011C5C"/>
    <w:rsid w:val="00012B18"/>
    <w:rsid w:val="00027BFE"/>
    <w:rsid w:val="00060328"/>
    <w:rsid w:val="00063DAC"/>
    <w:rsid w:val="00065203"/>
    <w:rsid w:val="000656EA"/>
    <w:rsid w:val="000801FE"/>
    <w:rsid w:val="000A31AF"/>
    <w:rsid w:val="000C2C94"/>
    <w:rsid w:val="000D6639"/>
    <w:rsid w:val="000E2432"/>
    <w:rsid w:val="001063C2"/>
    <w:rsid w:val="001257D6"/>
    <w:rsid w:val="0013271E"/>
    <w:rsid w:val="001528C9"/>
    <w:rsid w:val="00155336"/>
    <w:rsid w:val="001800F8"/>
    <w:rsid w:val="00194D39"/>
    <w:rsid w:val="001976ED"/>
    <w:rsid w:val="001C529D"/>
    <w:rsid w:val="001D26EC"/>
    <w:rsid w:val="001E3348"/>
    <w:rsid w:val="00202446"/>
    <w:rsid w:val="00223F4F"/>
    <w:rsid w:val="0022422B"/>
    <w:rsid w:val="002252A7"/>
    <w:rsid w:val="00230E69"/>
    <w:rsid w:val="00257B13"/>
    <w:rsid w:val="00263B05"/>
    <w:rsid w:val="002739CF"/>
    <w:rsid w:val="00274212"/>
    <w:rsid w:val="00286AFD"/>
    <w:rsid w:val="00293216"/>
    <w:rsid w:val="002A3BBB"/>
    <w:rsid w:val="002B4EB0"/>
    <w:rsid w:val="002B7595"/>
    <w:rsid w:val="002D42F2"/>
    <w:rsid w:val="002E1B84"/>
    <w:rsid w:val="002E4F78"/>
    <w:rsid w:val="00312FF1"/>
    <w:rsid w:val="00313B46"/>
    <w:rsid w:val="00322FF3"/>
    <w:rsid w:val="003340EF"/>
    <w:rsid w:val="003371C6"/>
    <w:rsid w:val="00357088"/>
    <w:rsid w:val="003748A8"/>
    <w:rsid w:val="00375A10"/>
    <w:rsid w:val="0037673D"/>
    <w:rsid w:val="003770B3"/>
    <w:rsid w:val="00377B32"/>
    <w:rsid w:val="00397A6E"/>
    <w:rsid w:val="003A56AD"/>
    <w:rsid w:val="003C055D"/>
    <w:rsid w:val="003E5ECB"/>
    <w:rsid w:val="00401DFD"/>
    <w:rsid w:val="00435AC1"/>
    <w:rsid w:val="004723A0"/>
    <w:rsid w:val="00474BBF"/>
    <w:rsid w:val="00486B90"/>
    <w:rsid w:val="004E3998"/>
    <w:rsid w:val="004E75EA"/>
    <w:rsid w:val="004F72BE"/>
    <w:rsid w:val="005079FF"/>
    <w:rsid w:val="0053591A"/>
    <w:rsid w:val="00565328"/>
    <w:rsid w:val="00567436"/>
    <w:rsid w:val="00575618"/>
    <w:rsid w:val="00594B95"/>
    <w:rsid w:val="005A37FC"/>
    <w:rsid w:val="005B0592"/>
    <w:rsid w:val="005B0F05"/>
    <w:rsid w:val="005B1962"/>
    <w:rsid w:val="005B6E5A"/>
    <w:rsid w:val="00614A41"/>
    <w:rsid w:val="00615F1A"/>
    <w:rsid w:val="0064292D"/>
    <w:rsid w:val="00643214"/>
    <w:rsid w:val="00646F40"/>
    <w:rsid w:val="006627C3"/>
    <w:rsid w:val="0068190B"/>
    <w:rsid w:val="006A4836"/>
    <w:rsid w:val="006D315E"/>
    <w:rsid w:val="0071111B"/>
    <w:rsid w:val="00721BA1"/>
    <w:rsid w:val="00724A89"/>
    <w:rsid w:val="00725A37"/>
    <w:rsid w:val="00740D7D"/>
    <w:rsid w:val="007473D4"/>
    <w:rsid w:val="0076625C"/>
    <w:rsid w:val="00786AD6"/>
    <w:rsid w:val="0079244B"/>
    <w:rsid w:val="007948BB"/>
    <w:rsid w:val="007A6438"/>
    <w:rsid w:val="007F0997"/>
    <w:rsid w:val="007F101E"/>
    <w:rsid w:val="00806F93"/>
    <w:rsid w:val="008078CD"/>
    <w:rsid w:val="008169C5"/>
    <w:rsid w:val="00825EBF"/>
    <w:rsid w:val="00841680"/>
    <w:rsid w:val="00872071"/>
    <w:rsid w:val="00885D0C"/>
    <w:rsid w:val="00892FCB"/>
    <w:rsid w:val="008A7208"/>
    <w:rsid w:val="008B5CE9"/>
    <w:rsid w:val="008C2490"/>
    <w:rsid w:val="008D2950"/>
    <w:rsid w:val="008F735C"/>
    <w:rsid w:val="0090311F"/>
    <w:rsid w:val="0090405A"/>
    <w:rsid w:val="009067BA"/>
    <w:rsid w:val="0093539F"/>
    <w:rsid w:val="0095019E"/>
    <w:rsid w:val="009C2946"/>
    <w:rsid w:val="009C707E"/>
    <w:rsid w:val="00A0511A"/>
    <w:rsid w:val="00A05585"/>
    <w:rsid w:val="00A16E24"/>
    <w:rsid w:val="00A30D05"/>
    <w:rsid w:val="00A61835"/>
    <w:rsid w:val="00A63ED6"/>
    <w:rsid w:val="00A75BDD"/>
    <w:rsid w:val="00A86D25"/>
    <w:rsid w:val="00A901CB"/>
    <w:rsid w:val="00A96936"/>
    <w:rsid w:val="00AD57BC"/>
    <w:rsid w:val="00AE7DE6"/>
    <w:rsid w:val="00B067BD"/>
    <w:rsid w:val="00B10BD3"/>
    <w:rsid w:val="00B15ADE"/>
    <w:rsid w:val="00B468AE"/>
    <w:rsid w:val="00B62A78"/>
    <w:rsid w:val="00B854E4"/>
    <w:rsid w:val="00B86693"/>
    <w:rsid w:val="00B904F1"/>
    <w:rsid w:val="00BA3C59"/>
    <w:rsid w:val="00BA4A10"/>
    <w:rsid w:val="00BA5DD6"/>
    <w:rsid w:val="00BC7DED"/>
    <w:rsid w:val="00BE4D0B"/>
    <w:rsid w:val="00BE50DC"/>
    <w:rsid w:val="00C05BBF"/>
    <w:rsid w:val="00C119D1"/>
    <w:rsid w:val="00C165F2"/>
    <w:rsid w:val="00C45BE6"/>
    <w:rsid w:val="00C53627"/>
    <w:rsid w:val="00C97A5F"/>
    <w:rsid w:val="00CA19F0"/>
    <w:rsid w:val="00CB68FC"/>
    <w:rsid w:val="00CB6C32"/>
    <w:rsid w:val="00CC3141"/>
    <w:rsid w:val="00CC5949"/>
    <w:rsid w:val="00D0147B"/>
    <w:rsid w:val="00D061C2"/>
    <w:rsid w:val="00D7703C"/>
    <w:rsid w:val="00D77BCA"/>
    <w:rsid w:val="00D963FC"/>
    <w:rsid w:val="00DD216D"/>
    <w:rsid w:val="00DE389C"/>
    <w:rsid w:val="00DF082F"/>
    <w:rsid w:val="00E10530"/>
    <w:rsid w:val="00E306F2"/>
    <w:rsid w:val="00E402F2"/>
    <w:rsid w:val="00E74373"/>
    <w:rsid w:val="00E85EAC"/>
    <w:rsid w:val="00E86AB0"/>
    <w:rsid w:val="00EA3820"/>
    <w:rsid w:val="00EB4482"/>
    <w:rsid w:val="00EC2E8D"/>
    <w:rsid w:val="00EE5AD2"/>
    <w:rsid w:val="00F02B43"/>
    <w:rsid w:val="00F115C3"/>
    <w:rsid w:val="00F20B68"/>
    <w:rsid w:val="00F2550D"/>
    <w:rsid w:val="00F33156"/>
    <w:rsid w:val="00F61470"/>
    <w:rsid w:val="00F767AB"/>
    <w:rsid w:val="00F82EC7"/>
    <w:rsid w:val="00F8546C"/>
    <w:rsid w:val="00FB6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CB"/>
  </w:style>
  <w:style w:type="paragraph" w:styleId="1">
    <w:name w:val="heading 1"/>
    <w:basedOn w:val="a"/>
    <w:link w:val="10"/>
    <w:uiPriority w:val="9"/>
    <w:qFormat/>
    <w:rsid w:val="00E10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54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14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89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9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C5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105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6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2;&#1076;&#1084;&#1080;&#1085;\Desktop\Dlya_samykh_luchshikh_devushek_za_Zeml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2;&#1076;&#1084;&#1080;&#1085;\Desktop\&#1085;&#1072;&#1091;&#1095;&#1085;&#1072;&#110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2;&#1076;&#1084;&#1080;&#1085;\Desktop\&#1085;&#1072;&#1091;&#1095;&#1085;&#1072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Лист1!$A$85</c:f>
              <c:strCache>
                <c:ptCount val="1"/>
                <c:pt idx="0">
                  <c:v>Доля ипотечных кредитов в общем объёме предоставленных кредитов физическим лицам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9B832B"/>
              </a:solidFill>
            </c:spPr>
          </c:dPt>
          <c:dPt>
            <c:idx val="1"/>
            <c:invertIfNegative val="0"/>
            <c:bubble3D val="0"/>
            <c:spPr>
              <a:solidFill>
                <a:srgbClr val="9C6B2A"/>
              </a:solidFill>
            </c:spPr>
          </c:dPt>
          <c:dPt>
            <c:idx val="2"/>
            <c:invertIfNegative val="0"/>
            <c:bubble3D val="0"/>
            <c:spPr>
              <a:solidFill>
                <a:srgbClr val="984F2E"/>
              </a:solidFill>
            </c:spPr>
          </c:dPt>
          <c:dPt>
            <c:idx val="3"/>
            <c:invertIfNegative val="0"/>
            <c:bubble3D val="0"/>
            <c:spPr>
              <a:solidFill>
                <a:srgbClr val="993F2D"/>
              </a:solidFill>
            </c:spPr>
          </c:dPt>
          <c:dPt>
            <c:idx val="4"/>
            <c:invertIfNegative val="0"/>
            <c:bubble3D val="0"/>
            <c:spPr>
              <a:solidFill>
                <a:srgbClr val="943232"/>
              </a:solidFill>
            </c:spPr>
          </c:dPt>
          <c:dPt>
            <c:idx val="5"/>
            <c:invertIfNegative val="0"/>
            <c:bubble3D val="0"/>
            <c:spPr>
              <a:solidFill>
                <a:srgbClr val="8E384C"/>
              </a:solidFill>
            </c:spPr>
          </c:dPt>
          <c:dPt>
            <c:idx val="6"/>
            <c:invertIfNegative val="0"/>
            <c:bubble3D val="0"/>
            <c:spPr>
              <a:solidFill>
                <a:srgbClr val="8E385F"/>
              </a:solidFill>
            </c:spPr>
          </c:dPt>
          <c:dPt>
            <c:idx val="7"/>
            <c:invertIfNegative val="0"/>
            <c:bubble3D val="0"/>
            <c:spPr>
              <a:solidFill>
                <a:srgbClr val="7F4086"/>
              </a:solidFill>
            </c:spPr>
          </c:dPt>
          <c:dPt>
            <c:idx val="8"/>
            <c:invertIfNegative val="0"/>
            <c:bubble3D val="0"/>
            <c:spPr>
              <a:solidFill>
                <a:srgbClr val="5C497D"/>
              </a:solidFill>
            </c:spPr>
          </c:dPt>
          <c:dPt>
            <c:idx val="9"/>
            <c:invertIfNegative val="0"/>
            <c:bubble3D val="0"/>
            <c:spPr>
              <a:solidFill>
                <a:srgbClr val="484482"/>
              </a:solidFill>
            </c:spPr>
          </c:dPt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Лист1!$B$84:$K$84</c:f>
              <c:numCache>
                <c:formatCode>dd/mm/yyyy</c:formatCode>
                <c:ptCount val="10"/>
                <c:pt idx="0">
                  <c:v>39448</c:v>
                </c:pt>
                <c:pt idx="1">
                  <c:v>39814</c:v>
                </c:pt>
                <c:pt idx="2">
                  <c:v>40179</c:v>
                </c:pt>
                <c:pt idx="3">
                  <c:v>40544</c:v>
                </c:pt>
                <c:pt idx="4">
                  <c:v>40909</c:v>
                </c:pt>
                <c:pt idx="5">
                  <c:v>41275</c:v>
                </c:pt>
                <c:pt idx="6">
                  <c:v>41640</c:v>
                </c:pt>
                <c:pt idx="7">
                  <c:v>42005</c:v>
                </c:pt>
                <c:pt idx="8">
                  <c:v>42370</c:v>
                </c:pt>
                <c:pt idx="9">
                  <c:v>42736</c:v>
                </c:pt>
              </c:numCache>
            </c:numRef>
          </c:cat>
          <c:val>
            <c:numRef>
              <c:f>Лист1!$B$85:$K$85</c:f>
              <c:numCache>
                <c:formatCode>0.00</c:formatCode>
                <c:ptCount val="10"/>
                <c:pt idx="0">
                  <c:v>16.463663667437419</c:v>
                </c:pt>
                <c:pt idx="1">
                  <c:v>18.479898428451119</c:v>
                </c:pt>
                <c:pt idx="2">
                  <c:v>6.8593856352879099</c:v>
                </c:pt>
                <c:pt idx="3">
                  <c:v>11.926121236594096</c:v>
                </c:pt>
                <c:pt idx="4">
                  <c:v>14.103717400428799</c:v>
                </c:pt>
                <c:pt idx="5">
                  <c:v>14.897817098004452</c:v>
                </c:pt>
                <c:pt idx="6">
                  <c:v>16.085353247248747</c:v>
                </c:pt>
                <c:pt idx="7">
                  <c:v>21.374081256564352</c:v>
                </c:pt>
                <c:pt idx="8">
                  <c:v>20.279044114777683</c:v>
                </c:pt>
                <c:pt idx="9">
                  <c:v>20.858282435217301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16452736"/>
        <c:axId val="124779904"/>
      </c:barChart>
      <c:dateAx>
        <c:axId val="11645273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дата</a:t>
                </a:r>
              </a:p>
            </c:rich>
          </c:tx>
          <c:overlay val="0"/>
        </c:title>
        <c:numFmt formatCode="dd/mm/yyyy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779904"/>
        <c:crosses val="autoZero"/>
        <c:auto val="1"/>
        <c:lblOffset val="100"/>
        <c:baseTimeUnit val="years"/>
      </c:dateAx>
      <c:valAx>
        <c:axId val="1247799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1"/>
                </a:pPr>
                <a:r>
                  <a:rPr lang="en-US" b="1"/>
                  <a:t>%</a:t>
                </a:r>
              </a:p>
            </c:rich>
          </c:tx>
          <c:overlay val="0"/>
        </c:title>
        <c:numFmt formatCode="0.00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4527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Лист1!$A$95</c:f>
              <c:strCache>
                <c:ptCount val="1"/>
                <c:pt idx="0">
                  <c:v>Объем предоставленных кредитов, млн.руб.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numRef>
              <c:f>Лист1!$B$94:$G$94</c:f>
              <c:numCache>
                <c:formatCode>dd/mm/yyyy</c:formatCode>
                <c:ptCount val="6"/>
                <c:pt idx="0">
                  <c:v>41275</c:v>
                </c:pt>
                <c:pt idx="1">
                  <c:v>41640</c:v>
                </c:pt>
                <c:pt idx="2">
                  <c:v>42005</c:v>
                </c:pt>
                <c:pt idx="3">
                  <c:v>42370</c:v>
                </c:pt>
                <c:pt idx="4">
                  <c:v>42736</c:v>
                </c:pt>
                <c:pt idx="5">
                  <c:v>43009</c:v>
                </c:pt>
              </c:numCache>
            </c:numRef>
          </c:cat>
          <c:val>
            <c:numRef>
              <c:f>Лист1!$B$95:$G$95</c:f>
              <c:numCache>
                <c:formatCode>#,##0</c:formatCode>
                <c:ptCount val="6"/>
                <c:pt idx="0">
                  <c:v>1054073</c:v>
                </c:pt>
                <c:pt idx="1">
                  <c:v>1385357</c:v>
                </c:pt>
                <c:pt idx="2">
                  <c:v>1808551</c:v>
                </c:pt>
                <c:pt idx="3">
                  <c:v>1169240</c:v>
                </c:pt>
                <c:pt idx="4">
                  <c:v>1481068</c:v>
                </c:pt>
                <c:pt idx="5">
                  <c:v>1289474</c:v>
                </c:pt>
              </c:numCache>
            </c:numRef>
          </c:val>
        </c:ser>
        <c:ser>
          <c:idx val="1"/>
          <c:order val="1"/>
          <c:tx>
            <c:strRef>
              <c:f>Лист1!$A$96</c:f>
              <c:strCache>
                <c:ptCount val="1"/>
              </c:strCache>
            </c:strRef>
          </c:tx>
          <c:invertIfNegative val="0"/>
          <c:cat>
            <c:numRef>
              <c:f>Лист1!$B$94:$G$94</c:f>
              <c:numCache>
                <c:formatCode>dd/mm/yyyy</c:formatCode>
                <c:ptCount val="6"/>
                <c:pt idx="0">
                  <c:v>41275</c:v>
                </c:pt>
                <c:pt idx="1">
                  <c:v>41640</c:v>
                </c:pt>
                <c:pt idx="2">
                  <c:v>42005</c:v>
                </c:pt>
                <c:pt idx="3">
                  <c:v>42370</c:v>
                </c:pt>
                <c:pt idx="4">
                  <c:v>42736</c:v>
                </c:pt>
                <c:pt idx="5">
                  <c:v>43009</c:v>
                </c:pt>
              </c:numCache>
            </c:numRef>
          </c:cat>
          <c:val>
            <c:numRef>
              <c:f>Лист1!$B$96:$G$96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Лист1!$A$98</c:f>
              <c:strCache>
                <c:ptCount val="1"/>
              </c:strCache>
            </c:strRef>
          </c:tx>
          <c:invertIfNegative val="0"/>
          <c:cat>
            <c:numRef>
              <c:f>Лист1!$B$94:$G$94</c:f>
              <c:numCache>
                <c:formatCode>dd/mm/yyyy</c:formatCode>
                <c:ptCount val="6"/>
                <c:pt idx="0">
                  <c:v>41275</c:v>
                </c:pt>
                <c:pt idx="1">
                  <c:v>41640</c:v>
                </c:pt>
                <c:pt idx="2">
                  <c:v>42005</c:v>
                </c:pt>
                <c:pt idx="3">
                  <c:v>42370</c:v>
                </c:pt>
                <c:pt idx="4">
                  <c:v>42736</c:v>
                </c:pt>
                <c:pt idx="5">
                  <c:v>43009</c:v>
                </c:pt>
              </c:numCache>
            </c:numRef>
          </c:cat>
          <c:val>
            <c:numRef>
              <c:f>Лист1!$B$98:$G$98</c:f>
              <c:numCache>
                <c:formatCode>General</c:formatCode>
                <c:ptCount val="6"/>
              </c:numCache>
            </c:numRef>
          </c:val>
        </c:ser>
        <c:ser>
          <c:idx val="5"/>
          <c:order val="5"/>
          <c:tx>
            <c:strRef>
              <c:f>Лист1!$A$100</c:f>
              <c:strCache>
                <c:ptCount val="1"/>
              </c:strCache>
            </c:strRef>
          </c:tx>
          <c:invertIfNegative val="0"/>
          <c:cat>
            <c:numRef>
              <c:f>Лист1!$B$94:$G$94</c:f>
              <c:numCache>
                <c:formatCode>dd/mm/yyyy</c:formatCode>
                <c:ptCount val="6"/>
                <c:pt idx="0">
                  <c:v>41275</c:v>
                </c:pt>
                <c:pt idx="1">
                  <c:v>41640</c:v>
                </c:pt>
                <c:pt idx="2">
                  <c:v>42005</c:v>
                </c:pt>
                <c:pt idx="3">
                  <c:v>42370</c:v>
                </c:pt>
                <c:pt idx="4">
                  <c:v>42736</c:v>
                </c:pt>
                <c:pt idx="5">
                  <c:v>43009</c:v>
                </c:pt>
              </c:numCache>
            </c:numRef>
          </c:cat>
          <c:val>
            <c:numRef>
              <c:f>Лист1!$B$100:$G$100</c:f>
              <c:numCache>
                <c:formatCode>General</c:formatCode>
                <c:ptCount val="6"/>
              </c:numCache>
            </c:numRef>
          </c:val>
        </c:ser>
        <c:ser>
          <c:idx val="6"/>
          <c:order val="6"/>
          <c:tx>
            <c:strRef>
              <c:f>Лист1!$A$101</c:f>
              <c:strCache>
                <c:ptCount val="1"/>
                <c:pt idx="0">
                  <c:v>Задолженность по предоставленным кредитам, млн.руб.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numRef>
              <c:f>Лист1!$B$94:$G$94</c:f>
              <c:numCache>
                <c:formatCode>dd/mm/yyyy</c:formatCode>
                <c:ptCount val="6"/>
                <c:pt idx="0">
                  <c:v>41275</c:v>
                </c:pt>
                <c:pt idx="1">
                  <c:v>41640</c:v>
                </c:pt>
                <c:pt idx="2">
                  <c:v>42005</c:v>
                </c:pt>
                <c:pt idx="3">
                  <c:v>42370</c:v>
                </c:pt>
                <c:pt idx="4">
                  <c:v>42736</c:v>
                </c:pt>
                <c:pt idx="5">
                  <c:v>43009</c:v>
                </c:pt>
              </c:numCache>
            </c:numRef>
          </c:cat>
          <c:val>
            <c:numRef>
              <c:f>Лист1!$B$101:$G$101</c:f>
              <c:numCache>
                <c:formatCode>#,##0</c:formatCode>
                <c:ptCount val="6"/>
                <c:pt idx="0">
                  <c:v>1992388</c:v>
                </c:pt>
                <c:pt idx="1">
                  <c:v>2647421</c:v>
                </c:pt>
                <c:pt idx="2">
                  <c:v>3517094</c:v>
                </c:pt>
                <c:pt idx="3">
                  <c:v>3912845</c:v>
                </c:pt>
                <c:pt idx="4">
                  <c:v>4464519</c:v>
                </c:pt>
                <c:pt idx="5">
                  <c:v>4882482</c:v>
                </c:pt>
              </c:numCache>
            </c:numRef>
          </c:val>
        </c:ser>
        <c:ser>
          <c:idx val="7"/>
          <c:order val="7"/>
          <c:tx>
            <c:strRef>
              <c:f>Лист1!$A$102</c:f>
              <c:strCache>
                <c:ptCount val="1"/>
              </c:strCache>
            </c:strRef>
          </c:tx>
          <c:invertIfNegative val="0"/>
          <c:cat>
            <c:numRef>
              <c:f>Лист1!$B$94:$G$94</c:f>
              <c:numCache>
                <c:formatCode>dd/mm/yyyy</c:formatCode>
                <c:ptCount val="6"/>
                <c:pt idx="0">
                  <c:v>41275</c:v>
                </c:pt>
                <c:pt idx="1">
                  <c:v>41640</c:v>
                </c:pt>
                <c:pt idx="2">
                  <c:v>42005</c:v>
                </c:pt>
                <c:pt idx="3">
                  <c:v>42370</c:v>
                </c:pt>
                <c:pt idx="4">
                  <c:v>42736</c:v>
                </c:pt>
                <c:pt idx="5">
                  <c:v>43009</c:v>
                </c:pt>
              </c:numCache>
            </c:numRef>
          </c:cat>
          <c:val>
            <c:numRef>
              <c:f>Лист1!$B$102:$G$102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43124352"/>
        <c:axId val="143670656"/>
      </c:barChart>
      <c:barChart>
        <c:barDir val="col"/>
        <c:grouping val="clustered"/>
        <c:varyColors val="0"/>
        <c:ser>
          <c:idx val="2"/>
          <c:order val="2"/>
          <c:tx>
            <c:strRef>
              <c:f>Лист1!$A$97</c:f>
              <c:strCache>
                <c:ptCount val="1"/>
                <c:pt idx="0">
                  <c:v>Количество предоставленных кредитов, ед.</c:v>
                </c:pt>
              </c:strCache>
            </c:strRef>
          </c:tx>
          <c:invertIfNegative val="0"/>
          <c:cat>
            <c:numRef>
              <c:f>Лист1!$B$94:$G$94</c:f>
              <c:numCache>
                <c:formatCode>dd/mm/yyyy</c:formatCode>
                <c:ptCount val="6"/>
                <c:pt idx="0">
                  <c:v>41275</c:v>
                </c:pt>
                <c:pt idx="1">
                  <c:v>41640</c:v>
                </c:pt>
                <c:pt idx="2">
                  <c:v>42005</c:v>
                </c:pt>
                <c:pt idx="3">
                  <c:v>42370</c:v>
                </c:pt>
                <c:pt idx="4">
                  <c:v>42736</c:v>
                </c:pt>
                <c:pt idx="5">
                  <c:v>43009</c:v>
                </c:pt>
              </c:numCache>
            </c:numRef>
          </c:cat>
          <c:val>
            <c:numRef>
              <c:f>Лист1!$B$97:$G$97</c:f>
              <c:numCache>
                <c:formatCode>#,##0</c:formatCode>
                <c:ptCount val="6"/>
                <c:pt idx="0">
                  <c:v>739393</c:v>
                </c:pt>
                <c:pt idx="1">
                  <c:v>878495</c:v>
                </c:pt>
                <c:pt idx="2">
                  <c:v>1058641</c:v>
                </c:pt>
                <c:pt idx="3">
                  <c:v>710450</c:v>
                </c:pt>
                <c:pt idx="4">
                  <c:v>863803</c:v>
                </c:pt>
                <c:pt idx="5" formatCode="0">
                  <c:v>704675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0"/>
        <c:overlap val="-100"/>
        <c:axId val="151986560"/>
        <c:axId val="151373312"/>
      </c:barChart>
      <c:lineChart>
        <c:grouping val="standard"/>
        <c:varyColors val="0"/>
        <c:ser>
          <c:idx val="4"/>
          <c:order val="4"/>
          <c:tx>
            <c:strRef>
              <c:f>Лист1!$A$99</c:f>
              <c:strCache>
                <c:ptCount val="1"/>
                <c:pt idx="0">
                  <c:v>Количество предоставленных кредитов, ед.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square"/>
            <c:size val="7"/>
            <c:spPr>
              <a:solidFill>
                <a:schemeClr val="accent2">
                  <a:lumMod val="50000"/>
                </a:schemeClr>
              </a:solidFill>
            </c:spPr>
          </c:marker>
          <c:cat>
            <c:numRef>
              <c:f>Лист1!$B$94:$G$94</c:f>
              <c:numCache>
                <c:formatCode>dd/mm/yyyy</c:formatCode>
                <c:ptCount val="6"/>
                <c:pt idx="0">
                  <c:v>41275</c:v>
                </c:pt>
                <c:pt idx="1">
                  <c:v>41640</c:v>
                </c:pt>
                <c:pt idx="2">
                  <c:v>42005</c:v>
                </c:pt>
                <c:pt idx="3">
                  <c:v>42370</c:v>
                </c:pt>
                <c:pt idx="4">
                  <c:v>42736</c:v>
                </c:pt>
                <c:pt idx="5">
                  <c:v>43009</c:v>
                </c:pt>
              </c:numCache>
            </c:numRef>
          </c:cat>
          <c:val>
            <c:numRef>
              <c:f>Лист1!$B$99:$G$99</c:f>
              <c:numCache>
                <c:formatCode>#,##0</c:formatCode>
                <c:ptCount val="6"/>
                <c:pt idx="0">
                  <c:v>739393</c:v>
                </c:pt>
                <c:pt idx="1">
                  <c:v>878495</c:v>
                </c:pt>
                <c:pt idx="2">
                  <c:v>1058641</c:v>
                </c:pt>
                <c:pt idx="3">
                  <c:v>710450</c:v>
                </c:pt>
                <c:pt idx="4">
                  <c:v>863803</c:v>
                </c:pt>
                <c:pt idx="5" formatCode="0">
                  <c:v>704675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986560"/>
        <c:axId val="151373312"/>
      </c:lineChart>
      <c:catAx>
        <c:axId val="1431243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дата</a:t>
                </a:r>
              </a:p>
            </c:rich>
          </c:tx>
          <c:overlay val="0"/>
        </c:title>
        <c:numFmt formatCode="dd/mm/yyyy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3670656"/>
        <c:crosses val="autoZero"/>
        <c:auto val="0"/>
        <c:lblAlgn val="ctr"/>
        <c:lblOffset val="100"/>
        <c:noMultiLvlLbl val="0"/>
      </c:catAx>
      <c:valAx>
        <c:axId val="143670656"/>
        <c:scaling>
          <c:orientation val="minMax"/>
          <c:max val="5000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млн. руб.</a:t>
                </a:r>
              </a:p>
            </c:rich>
          </c:tx>
          <c:overlay val="0"/>
        </c:title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3124352"/>
        <c:crosses val="autoZero"/>
        <c:crossBetween val="between"/>
      </c:valAx>
      <c:valAx>
        <c:axId val="151373312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единица</a:t>
                </a:r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986560"/>
        <c:crosses val="max"/>
        <c:crossBetween val="between"/>
      </c:valAx>
      <c:dateAx>
        <c:axId val="151986560"/>
        <c:scaling>
          <c:orientation val="minMax"/>
        </c:scaling>
        <c:delete val="1"/>
        <c:axPos val="b"/>
        <c:numFmt formatCode="dd/mm/yyyy" sourceLinked="1"/>
        <c:majorTickMark val="out"/>
        <c:minorTickMark val="none"/>
        <c:tickLblPos val="nextTo"/>
        <c:crossAx val="151373312"/>
        <c:crosses val="autoZero"/>
        <c:auto val="1"/>
        <c:lblOffset val="100"/>
        <c:baseTimeUnit val="months"/>
      </c:dateAx>
    </c:plotArea>
    <c:legend>
      <c:legendPos val="b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egendEntry>
        <c:idx val="5"/>
        <c:delete val="1"/>
      </c:legendEntry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52724001071988"/>
          <c:y val="4.8245614035087717E-2"/>
          <c:w val="0.80549436992985279"/>
          <c:h val="0.697459593866556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Лист1!$A$58</c:f>
              <c:strCache>
                <c:ptCount val="1"/>
                <c:pt idx="0">
                  <c:v>Средневзвешенный срок кредитования, мес.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Лист1!$B$57:$G$57</c:f>
              <c:numCache>
                <c:formatCode>dd/mm/yyyy</c:formatCode>
                <c:ptCount val="6"/>
                <c:pt idx="0">
                  <c:v>41275</c:v>
                </c:pt>
                <c:pt idx="1">
                  <c:v>41640</c:v>
                </c:pt>
                <c:pt idx="2">
                  <c:v>42005</c:v>
                </c:pt>
                <c:pt idx="3">
                  <c:v>42370</c:v>
                </c:pt>
                <c:pt idx="4">
                  <c:v>42736</c:v>
                </c:pt>
                <c:pt idx="5">
                  <c:v>43009</c:v>
                </c:pt>
              </c:numCache>
            </c:numRef>
          </c:cat>
          <c:val>
            <c:numRef>
              <c:f>Лист1!$B$58:$G$58</c:f>
              <c:numCache>
                <c:formatCode>General</c:formatCode>
                <c:ptCount val="6"/>
                <c:pt idx="0">
                  <c:v>176.6</c:v>
                </c:pt>
                <c:pt idx="1">
                  <c:v>172.9</c:v>
                </c:pt>
                <c:pt idx="2">
                  <c:v>178.1</c:v>
                </c:pt>
                <c:pt idx="3">
                  <c:v>175.2</c:v>
                </c:pt>
                <c:pt idx="4">
                  <c:v>182.2</c:v>
                </c:pt>
                <c:pt idx="5">
                  <c:v>185.9</c:v>
                </c:pt>
              </c:numCache>
            </c:numRef>
          </c:val>
        </c:ser>
        <c:ser>
          <c:idx val="1"/>
          <c:order val="1"/>
          <c:tx>
            <c:strRef>
              <c:f>Лист1!$A$59</c:f>
              <c:strCache>
                <c:ptCount val="1"/>
              </c:strCache>
            </c:strRef>
          </c:tx>
          <c:invertIfNegative val="0"/>
          <c:cat>
            <c:numRef>
              <c:f>Лист1!$B$57:$G$57</c:f>
              <c:numCache>
                <c:formatCode>dd/mm/yyyy</c:formatCode>
                <c:ptCount val="6"/>
                <c:pt idx="0">
                  <c:v>41275</c:v>
                </c:pt>
                <c:pt idx="1">
                  <c:v>41640</c:v>
                </c:pt>
                <c:pt idx="2">
                  <c:v>42005</c:v>
                </c:pt>
                <c:pt idx="3">
                  <c:v>42370</c:v>
                </c:pt>
                <c:pt idx="4">
                  <c:v>42736</c:v>
                </c:pt>
                <c:pt idx="5">
                  <c:v>43009</c:v>
                </c:pt>
              </c:numCache>
            </c:numRef>
          </c:cat>
          <c:val>
            <c:numRef>
              <c:f>Лист1!$B$59:$G$59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Лист1!$A$60</c:f>
              <c:strCache>
                <c:ptCount val="1"/>
                <c:pt idx="0">
                  <c:v>Средневзвешенная ставка, 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Лист1!$B$57:$G$57</c:f>
              <c:numCache>
                <c:formatCode>dd/mm/yyyy</c:formatCode>
                <c:ptCount val="6"/>
                <c:pt idx="0">
                  <c:v>41275</c:v>
                </c:pt>
                <c:pt idx="1">
                  <c:v>41640</c:v>
                </c:pt>
                <c:pt idx="2">
                  <c:v>42005</c:v>
                </c:pt>
                <c:pt idx="3">
                  <c:v>42370</c:v>
                </c:pt>
                <c:pt idx="4">
                  <c:v>42736</c:v>
                </c:pt>
                <c:pt idx="5">
                  <c:v>43009</c:v>
                </c:pt>
              </c:numCache>
            </c:numRef>
          </c:cat>
          <c:val>
            <c:numRef>
              <c:f>Лист1!$B$60:$G$60</c:f>
              <c:numCache>
                <c:formatCode>General</c:formatCode>
                <c:ptCount val="6"/>
                <c:pt idx="0">
                  <c:v>12.32</c:v>
                </c:pt>
                <c:pt idx="1">
                  <c:v>12.51</c:v>
                </c:pt>
                <c:pt idx="2">
                  <c:v>12.47</c:v>
                </c:pt>
                <c:pt idx="3">
                  <c:v>13.360000000000015</c:v>
                </c:pt>
                <c:pt idx="4">
                  <c:v>12.49</c:v>
                </c:pt>
                <c:pt idx="5">
                  <c:v>11.1</c:v>
                </c:pt>
              </c:numCache>
            </c:numRef>
          </c:val>
        </c:ser>
        <c:ser>
          <c:idx val="3"/>
          <c:order val="3"/>
          <c:tx>
            <c:strRef>
              <c:f>Лист1!$A$61</c:f>
              <c:strCache>
                <c:ptCount val="1"/>
              </c:strCache>
            </c:strRef>
          </c:tx>
          <c:invertIfNegative val="0"/>
          <c:cat>
            <c:numRef>
              <c:f>Лист1!$B$57:$G$57</c:f>
              <c:numCache>
                <c:formatCode>dd/mm/yyyy</c:formatCode>
                <c:ptCount val="6"/>
                <c:pt idx="0">
                  <c:v>41275</c:v>
                </c:pt>
                <c:pt idx="1">
                  <c:v>41640</c:v>
                </c:pt>
                <c:pt idx="2">
                  <c:v>42005</c:v>
                </c:pt>
                <c:pt idx="3">
                  <c:v>42370</c:v>
                </c:pt>
                <c:pt idx="4">
                  <c:v>42736</c:v>
                </c:pt>
                <c:pt idx="5">
                  <c:v>43009</c:v>
                </c:pt>
              </c:numCache>
            </c:numRef>
          </c:cat>
          <c:val>
            <c:numRef>
              <c:f>Лист1!$B$61:$G$61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991040"/>
        <c:axId val="151992960"/>
      </c:barChart>
      <c:catAx>
        <c:axId val="15199104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дата</a:t>
                </a:r>
              </a:p>
            </c:rich>
          </c:tx>
          <c:overlay val="0"/>
        </c:title>
        <c:numFmt formatCode="dd/mm/yyyy" sourceLinked="1"/>
        <c:majorTickMark val="none"/>
        <c:minorTickMark val="none"/>
        <c:tickLblPos val="nextTo"/>
        <c:crossAx val="151992960"/>
        <c:crosses val="autoZero"/>
        <c:auto val="0"/>
        <c:lblAlgn val="ctr"/>
        <c:lblOffset val="100"/>
        <c:noMultiLvlLbl val="0"/>
      </c:catAx>
      <c:valAx>
        <c:axId val="151992960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651702208212628"/>
              <c:y val="0.8148901782014090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1991040"/>
        <c:crosses val="autoZero"/>
        <c:crossBetween val="between"/>
      </c:valAx>
    </c:plotArea>
    <c:legend>
      <c:legendPos val="b"/>
      <c:legendEntry>
        <c:idx val="0"/>
        <c:delete val="1"/>
      </c:legendEntry>
      <c:legendEntry>
        <c:idx val="2"/>
        <c:delete val="1"/>
      </c:legendEntry>
      <c:layout>
        <c:manualLayout>
          <c:xMode val="edge"/>
          <c:yMode val="edge"/>
          <c:x val="5.9531132352378155E-2"/>
          <c:y val="0.86419222268269102"/>
          <c:w val="0.86364978283711291"/>
          <c:h val="7.4404268545379196E-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F572-8354-407C-95B9-35915E12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3254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СВТ</cp:lastModifiedBy>
  <cp:revision>3</cp:revision>
  <cp:lastPrinted>2017-11-02T04:15:00Z</cp:lastPrinted>
  <dcterms:created xsi:type="dcterms:W3CDTF">2017-11-12T22:15:00Z</dcterms:created>
  <dcterms:modified xsi:type="dcterms:W3CDTF">2017-11-14T04:19:00Z</dcterms:modified>
</cp:coreProperties>
</file>