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A63" w:rsidRDefault="00026A63" w:rsidP="0044605D">
      <w:pPr>
        <w:pStyle w:val="1"/>
        <w:spacing w:before="0" w:after="0" w:line="100" w:lineRule="atLeast"/>
        <w:ind w:firstLine="851"/>
        <w:jc w:val="left"/>
        <w:rPr>
          <w:rFonts w:ascii="Times New Roman" w:hAnsi="Times New Roman"/>
          <w:b w:val="0"/>
          <w:sz w:val="20"/>
          <w:szCs w:val="20"/>
        </w:rPr>
      </w:pPr>
      <w:bookmarkStart w:id="0" w:name="_Toc494482888"/>
      <w:r>
        <w:rPr>
          <w:rFonts w:ascii="Times New Roman" w:hAnsi="Times New Roman"/>
          <w:b w:val="0"/>
          <w:sz w:val="20"/>
          <w:szCs w:val="20"/>
        </w:rPr>
        <w:t>УДК</w:t>
      </w:r>
    </w:p>
    <w:p w:rsidR="00026A63" w:rsidRPr="00026A63" w:rsidRDefault="00026A63" w:rsidP="0044605D">
      <w:pPr>
        <w:spacing w:line="100" w:lineRule="atLeast"/>
        <w:ind w:firstLine="851"/>
      </w:pPr>
    </w:p>
    <w:p w:rsidR="00066635" w:rsidRPr="00426896" w:rsidRDefault="00066635" w:rsidP="0044605D">
      <w:pPr>
        <w:pStyle w:val="1"/>
        <w:spacing w:before="0" w:after="0" w:line="100" w:lineRule="atLeast"/>
        <w:ind w:firstLine="851"/>
        <w:jc w:val="center"/>
        <w:rPr>
          <w:rFonts w:ascii="Times New Roman" w:hAnsi="Times New Roman"/>
          <w:b w:val="0"/>
          <w:sz w:val="20"/>
          <w:szCs w:val="20"/>
        </w:rPr>
      </w:pPr>
      <w:r w:rsidRPr="00426896">
        <w:rPr>
          <w:rFonts w:ascii="Times New Roman" w:hAnsi="Times New Roman"/>
          <w:b w:val="0"/>
          <w:sz w:val="20"/>
          <w:szCs w:val="20"/>
        </w:rPr>
        <w:t>Качество предоставления информации о вкладах физических лиц на сайтах банковских услуг в России</w:t>
      </w:r>
      <w:bookmarkEnd w:id="0"/>
    </w:p>
    <w:p w:rsidR="00066635" w:rsidRDefault="00066635" w:rsidP="0044605D">
      <w:pPr>
        <w:spacing w:line="100" w:lineRule="atLeast"/>
        <w:ind w:firstLine="851"/>
      </w:pPr>
    </w:p>
    <w:p w:rsidR="00026A63" w:rsidRPr="00026A63" w:rsidRDefault="00026A63" w:rsidP="0044605D">
      <w:pPr>
        <w:keepNext/>
        <w:widowControl w:val="0"/>
        <w:autoSpaceDE w:val="0"/>
        <w:autoSpaceDN w:val="0"/>
        <w:adjustRightInd w:val="0"/>
        <w:spacing w:line="100" w:lineRule="atLeast"/>
        <w:ind w:firstLine="851"/>
        <w:jc w:val="center"/>
        <w:outlineLvl w:val="3"/>
        <w:rPr>
          <w:rFonts w:eastAsia="Times New Roman"/>
          <w:bCs/>
          <w:sz w:val="20"/>
          <w:szCs w:val="20"/>
          <w:lang w:eastAsia="ru-RU"/>
        </w:rPr>
      </w:pPr>
      <w:proofErr w:type="spellStart"/>
      <w:r w:rsidRPr="00026A63">
        <w:rPr>
          <w:rFonts w:eastAsia="Times New Roman"/>
          <w:bCs/>
          <w:sz w:val="20"/>
          <w:szCs w:val="20"/>
          <w:lang w:eastAsia="ru-RU"/>
        </w:rPr>
        <w:t>Е.А.Серемина</w:t>
      </w:r>
      <w:proofErr w:type="spellEnd"/>
    </w:p>
    <w:p w:rsidR="00026A63" w:rsidRPr="00026A63" w:rsidRDefault="00026A63" w:rsidP="0044605D">
      <w:pPr>
        <w:widowControl w:val="0"/>
        <w:autoSpaceDE w:val="0"/>
        <w:autoSpaceDN w:val="0"/>
        <w:adjustRightInd w:val="0"/>
        <w:spacing w:line="100" w:lineRule="atLeast"/>
        <w:ind w:firstLine="851"/>
        <w:jc w:val="center"/>
        <w:rPr>
          <w:rFonts w:eastAsia="Times New Roman"/>
          <w:sz w:val="20"/>
          <w:szCs w:val="20"/>
          <w:lang w:eastAsia="ru-RU"/>
        </w:rPr>
      </w:pPr>
      <w:r w:rsidRPr="00026A63">
        <w:rPr>
          <w:rFonts w:eastAsia="Times New Roman"/>
          <w:sz w:val="20"/>
          <w:szCs w:val="20"/>
          <w:lang w:eastAsia="ru-RU"/>
        </w:rPr>
        <w:t>Федеральное государственное бюджетное образовательное учреждение высшего образования «Омский государственный технический университет»,</w:t>
      </w:r>
    </w:p>
    <w:p w:rsidR="00026A63" w:rsidRPr="00026A63" w:rsidRDefault="00026A63" w:rsidP="0044605D">
      <w:pPr>
        <w:widowControl w:val="0"/>
        <w:autoSpaceDE w:val="0"/>
        <w:autoSpaceDN w:val="0"/>
        <w:adjustRightInd w:val="0"/>
        <w:spacing w:line="100" w:lineRule="atLeast"/>
        <w:ind w:firstLine="851"/>
        <w:jc w:val="center"/>
        <w:rPr>
          <w:rFonts w:eastAsia="Times New Roman"/>
          <w:sz w:val="20"/>
          <w:szCs w:val="20"/>
          <w:lang w:eastAsia="ru-RU"/>
        </w:rPr>
      </w:pPr>
      <w:r w:rsidRPr="00026A63">
        <w:rPr>
          <w:rFonts w:eastAsia="Times New Roman"/>
          <w:sz w:val="20"/>
          <w:szCs w:val="20"/>
          <w:lang w:eastAsia="ru-RU"/>
        </w:rPr>
        <w:t xml:space="preserve"> г. Омск, Россия</w:t>
      </w:r>
    </w:p>
    <w:p w:rsidR="00026A63" w:rsidRDefault="00026A63" w:rsidP="0044605D">
      <w:pPr>
        <w:spacing w:line="100" w:lineRule="atLeast"/>
        <w:ind w:firstLine="851"/>
      </w:pPr>
    </w:p>
    <w:p w:rsidR="00066635" w:rsidRPr="009F13D7" w:rsidRDefault="00066635" w:rsidP="0044605D">
      <w:pPr>
        <w:spacing w:line="100" w:lineRule="atLeast"/>
        <w:ind w:firstLine="851"/>
        <w:rPr>
          <w:sz w:val="20"/>
          <w:szCs w:val="20"/>
        </w:rPr>
      </w:pPr>
    </w:p>
    <w:p w:rsidR="00066635" w:rsidRPr="009F13D7" w:rsidRDefault="00066635" w:rsidP="00DD3AAB">
      <w:pPr>
        <w:spacing w:line="22" w:lineRule="atLeast"/>
        <w:ind w:firstLine="851"/>
        <w:rPr>
          <w:b/>
          <w:sz w:val="20"/>
          <w:szCs w:val="20"/>
        </w:rPr>
      </w:pPr>
      <w:r w:rsidRPr="009F13D7">
        <w:rPr>
          <w:b/>
          <w:i/>
          <w:sz w:val="20"/>
          <w:szCs w:val="20"/>
        </w:rPr>
        <w:t>Аннотация:</w:t>
      </w:r>
      <w:r w:rsidRPr="009F13D7">
        <w:rPr>
          <w:b/>
          <w:sz w:val="20"/>
          <w:szCs w:val="20"/>
        </w:rPr>
        <w:t xml:space="preserve"> Статья затрагивает особенности предоставления информации о вкладах физических лиц на сайтах основных банковских организаций РФ. Дается сравнительная характеристика предоставления услуг, оцениваются такие их качества, как доступность, наглядность, прозрачность. Рассматриваются также достоинства и недостатки инвестиций во вкладе физических лиц.</w:t>
      </w:r>
    </w:p>
    <w:p w:rsidR="00066635" w:rsidRDefault="00066635" w:rsidP="00DD3AAB">
      <w:pPr>
        <w:spacing w:line="22" w:lineRule="atLeast"/>
        <w:ind w:firstLine="851"/>
      </w:pPr>
    </w:p>
    <w:p w:rsidR="00066635" w:rsidRPr="009F13D7" w:rsidRDefault="00066635" w:rsidP="00DD3AAB">
      <w:pPr>
        <w:spacing w:line="22" w:lineRule="atLeast"/>
        <w:ind w:firstLine="851"/>
        <w:rPr>
          <w:b/>
          <w:sz w:val="20"/>
          <w:szCs w:val="20"/>
        </w:rPr>
      </w:pPr>
      <w:r w:rsidRPr="009F13D7">
        <w:rPr>
          <w:b/>
          <w:i/>
          <w:sz w:val="20"/>
          <w:szCs w:val="20"/>
        </w:rPr>
        <w:t>Ключевые слова:</w:t>
      </w:r>
      <w:r w:rsidRPr="009F13D7">
        <w:rPr>
          <w:b/>
          <w:sz w:val="20"/>
          <w:szCs w:val="20"/>
        </w:rPr>
        <w:t xml:space="preserve"> информационный поиск, вклад, инвестиции, раскрытие информации</w:t>
      </w:r>
      <w:r w:rsidR="0044605D">
        <w:rPr>
          <w:b/>
          <w:sz w:val="20"/>
          <w:szCs w:val="20"/>
        </w:rPr>
        <w:t>.</w:t>
      </w:r>
    </w:p>
    <w:p w:rsidR="00066635" w:rsidRDefault="00066635" w:rsidP="00DD3AAB">
      <w:pPr>
        <w:spacing w:line="22" w:lineRule="atLeast"/>
        <w:ind w:firstLine="851"/>
      </w:pPr>
    </w:p>
    <w:p w:rsidR="00066635" w:rsidRPr="0044605D" w:rsidRDefault="00066635" w:rsidP="00DD3AAB">
      <w:pPr>
        <w:spacing w:line="22" w:lineRule="atLeast"/>
        <w:ind w:firstLine="851"/>
        <w:jc w:val="center"/>
        <w:rPr>
          <w:sz w:val="20"/>
          <w:szCs w:val="20"/>
        </w:rPr>
      </w:pPr>
      <w:r w:rsidRPr="0044605D">
        <w:rPr>
          <w:sz w:val="20"/>
          <w:szCs w:val="20"/>
          <w:lang w:val="en-US"/>
        </w:rPr>
        <w:t>I</w:t>
      </w:r>
      <w:r w:rsidRPr="0044605D">
        <w:rPr>
          <w:sz w:val="20"/>
          <w:szCs w:val="20"/>
        </w:rPr>
        <w:t>. ВВЕДЕНИЕ</w:t>
      </w:r>
    </w:p>
    <w:p w:rsidR="00066635" w:rsidRPr="0044605D" w:rsidRDefault="00066635" w:rsidP="00DD3AAB">
      <w:pPr>
        <w:spacing w:line="22" w:lineRule="atLeast"/>
        <w:ind w:firstLine="851"/>
        <w:rPr>
          <w:sz w:val="20"/>
          <w:szCs w:val="20"/>
        </w:rPr>
      </w:pPr>
    </w:p>
    <w:p w:rsidR="00066635" w:rsidRPr="0044605D" w:rsidRDefault="00066635" w:rsidP="00DD3AAB">
      <w:pPr>
        <w:spacing w:line="22" w:lineRule="atLeast"/>
        <w:ind w:firstLine="851"/>
        <w:rPr>
          <w:b/>
          <w:sz w:val="20"/>
          <w:szCs w:val="20"/>
        </w:rPr>
      </w:pPr>
      <w:r w:rsidRPr="0044605D">
        <w:rPr>
          <w:sz w:val="20"/>
          <w:szCs w:val="20"/>
        </w:rPr>
        <w:t xml:space="preserve">В настоящее время наибольший объем </w:t>
      </w:r>
      <w:r w:rsidR="00026A63" w:rsidRPr="0044605D">
        <w:rPr>
          <w:sz w:val="20"/>
          <w:szCs w:val="20"/>
        </w:rPr>
        <w:t>информации</w:t>
      </w:r>
      <w:r w:rsidRPr="0044605D">
        <w:rPr>
          <w:sz w:val="20"/>
          <w:szCs w:val="20"/>
        </w:rPr>
        <w:t xml:space="preserve"> люди получают через </w:t>
      </w:r>
      <w:r w:rsidR="00026A63" w:rsidRPr="0044605D">
        <w:rPr>
          <w:sz w:val="20"/>
          <w:szCs w:val="20"/>
        </w:rPr>
        <w:t>интернет</w:t>
      </w:r>
      <w:r w:rsidRPr="0044605D">
        <w:rPr>
          <w:sz w:val="20"/>
          <w:szCs w:val="20"/>
        </w:rPr>
        <w:t xml:space="preserve"> – изучая сайты компании, клиентами которых они являются. Не является </w:t>
      </w:r>
      <w:r w:rsidR="00026A63" w:rsidRPr="0044605D">
        <w:rPr>
          <w:sz w:val="20"/>
          <w:szCs w:val="20"/>
        </w:rPr>
        <w:t>исключением</w:t>
      </w:r>
      <w:r w:rsidRPr="0044605D">
        <w:rPr>
          <w:sz w:val="20"/>
          <w:szCs w:val="20"/>
        </w:rPr>
        <w:t xml:space="preserve"> и информация об инвестировании временно свободных средств – так как в России, как и во многих странах, инвестирование сре</w:t>
      </w:r>
      <w:proofErr w:type="gramStart"/>
      <w:r w:rsidRPr="0044605D">
        <w:rPr>
          <w:sz w:val="20"/>
          <w:szCs w:val="20"/>
        </w:rPr>
        <w:t>дств в б</w:t>
      </w:r>
      <w:proofErr w:type="gramEnd"/>
      <w:r w:rsidRPr="0044605D">
        <w:rPr>
          <w:sz w:val="20"/>
          <w:szCs w:val="20"/>
        </w:rPr>
        <w:t>анковские вклады является наиболее популярным, банк предоставляет потенциальному клиенту ознакомиться со всеми особенностями банковской услуги.</w:t>
      </w:r>
    </w:p>
    <w:p w:rsidR="00066635" w:rsidRPr="0044605D" w:rsidRDefault="00066635" w:rsidP="00DD3AAB">
      <w:pPr>
        <w:spacing w:line="22" w:lineRule="atLeast"/>
        <w:ind w:firstLine="851"/>
        <w:rPr>
          <w:sz w:val="20"/>
          <w:szCs w:val="20"/>
        </w:rPr>
      </w:pPr>
      <w:r w:rsidRPr="0044605D">
        <w:rPr>
          <w:sz w:val="20"/>
          <w:szCs w:val="20"/>
        </w:rPr>
        <w:t>Право на получение своевременной (до заключения договора вклада), необходимой и достоверной информации закреплено федеральным законодательством (статья 10 Закона Российской Федерации «О защите прав потребителей», статья 30 Федерального закона «О банках и банковской деятельности»). Принятию наилучшего решения может способствовать изучение предложений нескольких банков, принимающих вклады. Полученная информация позволит сравнить предложения по вкладам разных банков [7].</w:t>
      </w:r>
    </w:p>
    <w:p w:rsidR="00066635" w:rsidRPr="0044605D" w:rsidRDefault="00066635" w:rsidP="00DD3AAB">
      <w:pPr>
        <w:spacing w:line="22" w:lineRule="atLeast"/>
        <w:ind w:firstLine="851"/>
        <w:rPr>
          <w:sz w:val="20"/>
          <w:szCs w:val="20"/>
        </w:rPr>
      </w:pPr>
    </w:p>
    <w:p w:rsidR="00066635" w:rsidRPr="0044605D" w:rsidRDefault="00066635" w:rsidP="00DD3AAB">
      <w:pPr>
        <w:spacing w:line="22" w:lineRule="atLeast"/>
        <w:ind w:firstLine="851"/>
        <w:jc w:val="center"/>
        <w:rPr>
          <w:sz w:val="20"/>
          <w:szCs w:val="20"/>
        </w:rPr>
      </w:pPr>
      <w:r w:rsidRPr="0044605D">
        <w:rPr>
          <w:sz w:val="20"/>
          <w:szCs w:val="20"/>
          <w:lang w:val="en-US"/>
        </w:rPr>
        <w:t>II</w:t>
      </w:r>
      <w:r w:rsidRPr="0044605D">
        <w:rPr>
          <w:sz w:val="20"/>
          <w:szCs w:val="20"/>
        </w:rPr>
        <w:t>. ПОСТАНОВКА ЗАДАЧИ</w:t>
      </w:r>
    </w:p>
    <w:p w:rsidR="00066635" w:rsidRPr="0044605D" w:rsidRDefault="00066635" w:rsidP="00DD3AAB">
      <w:pPr>
        <w:spacing w:line="22" w:lineRule="atLeast"/>
        <w:ind w:firstLine="851"/>
        <w:rPr>
          <w:sz w:val="20"/>
          <w:szCs w:val="20"/>
        </w:rPr>
      </w:pPr>
    </w:p>
    <w:p w:rsidR="00066635" w:rsidRPr="0044605D" w:rsidRDefault="00066635" w:rsidP="00DD3AAB">
      <w:pPr>
        <w:spacing w:line="22" w:lineRule="atLeast"/>
        <w:ind w:firstLine="851"/>
        <w:rPr>
          <w:sz w:val="20"/>
          <w:szCs w:val="20"/>
        </w:rPr>
      </w:pPr>
      <w:r w:rsidRPr="0044605D">
        <w:rPr>
          <w:sz w:val="20"/>
          <w:szCs w:val="20"/>
        </w:rPr>
        <w:t>С целью оценки качества</w:t>
      </w:r>
      <w:proofErr w:type="gramStart"/>
      <w:r w:rsidRPr="0044605D">
        <w:rPr>
          <w:sz w:val="20"/>
          <w:szCs w:val="20"/>
        </w:rPr>
        <w:t xml:space="preserve"> ,</w:t>
      </w:r>
      <w:proofErr w:type="gramEnd"/>
      <w:r w:rsidRPr="0044605D">
        <w:rPr>
          <w:sz w:val="20"/>
          <w:szCs w:val="20"/>
        </w:rPr>
        <w:t xml:space="preserve"> доступности и полноты информации, </w:t>
      </w:r>
      <w:r w:rsidR="00026A63" w:rsidRPr="0044605D">
        <w:rPr>
          <w:sz w:val="20"/>
          <w:szCs w:val="20"/>
        </w:rPr>
        <w:t>которая</w:t>
      </w:r>
      <w:r w:rsidRPr="0044605D">
        <w:rPr>
          <w:sz w:val="20"/>
          <w:szCs w:val="20"/>
        </w:rPr>
        <w:t xml:space="preserve"> необходимо инвестору для принятия </w:t>
      </w:r>
      <w:r w:rsidR="00026A63" w:rsidRPr="0044605D">
        <w:rPr>
          <w:sz w:val="20"/>
          <w:szCs w:val="20"/>
        </w:rPr>
        <w:t>решения</w:t>
      </w:r>
      <w:r w:rsidRPr="0044605D">
        <w:rPr>
          <w:sz w:val="20"/>
          <w:szCs w:val="20"/>
        </w:rPr>
        <w:t xml:space="preserve"> нами были проанализированы сайты</w:t>
      </w:r>
      <w:r w:rsidRPr="0044605D">
        <w:rPr>
          <w:b/>
          <w:sz w:val="20"/>
          <w:szCs w:val="20"/>
        </w:rPr>
        <w:t xml:space="preserve"> </w:t>
      </w:r>
      <w:r w:rsidRPr="0044605D">
        <w:rPr>
          <w:sz w:val="20"/>
          <w:szCs w:val="20"/>
        </w:rPr>
        <w:t xml:space="preserve">Сбербанка РФ, ВТБ и Альфа-Банка. Анализ производился по следующим критериям: доступность, легкость поиска, полнота информации. </w:t>
      </w:r>
    </w:p>
    <w:p w:rsidR="00066635" w:rsidRPr="0044605D" w:rsidRDefault="00066635" w:rsidP="00DD3AAB">
      <w:pPr>
        <w:spacing w:line="22" w:lineRule="atLeast"/>
        <w:ind w:firstLine="851"/>
        <w:rPr>
          <w:sz w:val="20"/>
          <w:szCs w:val="20"/>
        </w:rPr>
      </w:pPr>
    </w:p>
    <w:p w:rsidR="00066635" w:rsidRPr="0044605D" w:rsidRDefault="00066635" w:rsidP="00DD3AAB">
      <w:pPr>
        <w:spacing w:line="22" w:lineRule="atLeast"/>
        <w:ind w:firstLine="851"/>
        <w:jc w:val="center"/>
        <w:rPr>
          <w:sz w:val="20"/>
          <w:szCs w:val="20"/>
        </w:rPr>
      </w:pPr>
      <w:r w:rsidRPr="0044605D">
        <w:rPr>
          <w:sz w:val="20"/>
          <w:szCs w:val="20"/>
          <w:lang w:val="en-US"/>
        </w:rPr>
        <w:t>III</w:t>
      </w:r>
      <w:r w:rsidRPr="0044605D">
        <w:rPr>
          <w:sz w:val="20"/>
          <w:szCs w:val="20"/>
        </w:rPr>
        <w:t>. ТЕОРИЯ</w:t>
      </w:r>
    </w:p>
    <w:p w:rsidR="00066635" w:rsidRPr="0044605D" w:rsidRDefault="00066635" w:rsidP="00DD3AAB">
      <w:pPr>
        <w:spacing w:line="22" w:lineRule="atLeast"/>
        <w:ind w:firstLine="851"/>
        <w:rPr>
          <w:sz w:val="20"/>
          <w:szCs w:val="20"/>
        </w:rPr>
      </w:pPr>
    </w:p>
    <w:p w:rsidR="00066635" w:rsidRPr="0044605D" w:rsidRDefault="00066635" w:rsidP="00DD3AAB">
      <w:pPr>
        <w:spacing w:line="22" w:lineRule="atLeast"/>
        <w:ind w:firstLine="851"/>
        <w:rPr>
          <w:sz w:val="20"/>
          <w:szCs w:val="20"/>
        </w:rPr>
      </w:pPr>
      <w:r w:rsidRPr="0044605D">
        <w:rPr>
          <w:color w:val="000000"/>
          <w:sz w:val="20"/>
          <w:szCs w:val="20"/>
          <w:shd w:val="clear" w:color="auto" w:fill="FFFFFF"/>
        </w:rPr>
        <w:t xml:space="preserve">Таким образом, </w:t>
      </w:r>
      <w:r w:rsidRPr="0044605D">
        <w:rPr>
          <w:sz w:val="20"/>
          <w:szCs w:val="20"/>
        </w:rPr>
        <w:t xml:space="preserve">при принятии решения о размещении вклада в банке следует ознакомиться с полной информацией в отношении банка (показателей его деятельности), его участия в системе страхования вкладов, условий, предлагаемых банком по вкладам. Основным источником информации должен стать сайт банка, </w:t>
      </w:r>
      <w:proofErr w:type="gramStart"/>
      <w:r w:rsidRPr="0044605D">
        <w:rPr>
          <w:sz w:val="20"/>
          <w:szCs w:val="20"/>
        </w:rPr>
        <w:t>использую который пользователи в любое время и в любом месте могут</w:t>
      </w:r>
      <w:proofErr w:type="gramEnd"/>
      <w:r w:rsidRPr="0044605D">
        <w:rPr>
          <w:sz w:val="20"/>
          <w:szCs w:val="20"/>
        </w:rPr>
        <w:t xml:space="preserve"> ознакомиться с условиями вкладов.</w:t>
      </w:r>
    </w:p>
    <w:p w:rsidR="00066635" w:rsidRPr="0044605D" w:rsidRDefault="00066635" w:rsidP="00DD3AAB">
      <w:pPr>
        <w:spacing w:line="22" w:lineRule="atLeast"/>
        <w:ind w:firstLine="851"/>
        <w:rPr>
          <w:color w:val="000000"/>
          <w:sz w:val="20"/>
          <w:szCs w:val="20"/>
          <w:shd w:val="clear" w:color="auto" w:fill="FFFFFF"/>
        </w:rPr>
      </w:pPr>
      <w:r w:rsidRPr="0044605D">
        <w:rPr>
          <w:sz w:val="20"/>
          <w:szCs w:val="20"/>
        </w:rPr>
        <w:t xml:space="preserve">Многие же банки до сих пор предполагают, что получать такую информацию клиенты пожелают от сотрудников банка по телефону или в офисе банка, на стендах. Кроме того, большинство банков имеют информационные буклеты и представляют их всем желающим в своих офисах, вместо того, чтобы </w:t>
      </w:r>
      <w:r w:rsidR="00026A63" w:rsidRPr="0044605D">
        <w:rPr>
          <w:sz w:val="20"/>
          <w:szCs w:val="20"/>
        </w:rPr>
        <w:t>по</w:t>
      </w:r>
      <w:r w:rsidRPr="0044605D">
        <w:rPr>
          <w:sz w:val="20"/>
          <w:szCs w:val="20"/>
        </w:rPr>
        <w:t>местить подробную информацию об условиях привлечения различных видов вкладов на своих сайтах [2, c.67].</w:t>
      </w:r>
    </w:p>
    <w:p w:rsidR="00066635" w:rsidRDefault="00066635" w:rsidP="00DD3AAB">
      <w:pPr>
        <w:spacing w:line="22" w:lineRule="atLeast"/>
        <w:ind w:firstLine="851"/>
        <w:jc w:val="center"/>
        <w:rPr>
          <w:sz w:val="20"/>
          <w:szCs w:val="20"/>
        </w:rPr>
      </w:pPr>
    </w:p>
    <w:p w:rsidR="00066635" w:rsidRDefault="00066635" w:rsidP="00DD3AAB">
      <w:pPr>
        <w:spacing w:line="22" w:lineRule="atLeast"/>
        <w:ind w:firstLine="851"/>
        <w:jc w:val="center"/>
        <w:rPr>
          <w:sz w:val="20"/>
          <w:szCs w:val="20"/>
        </w:rPr>
      </w:pPr>
      <w:r>
        <w:rPr>
          <w:sz w:val="20"/>
          <w:szCs w:val="20"/>
          <w:lang w:val="en-US"/>
        </w:rPr>
        <w:t>IV</w:t>
      </w:r>
      <w:r w:rsidRPr="009F13D7">
        <w:rPr>
          <w:sz w:val="20"/>
          <w:szCs w:val="20"/>
        </w:rPr>
        <w:t xml:space="preserve">. </w:t>
      </w:r>
      <w:r>
        <w:rPr>
          <w:sz w:val="20"/>
          <w:szCs w:val="20"/>
        </w:rPr>
        <w:t>РЕЗУЛЬТАТЫ ЭКСПЕРИМЕНТОВ</w:t>
      </w:r>
    </w:p>
    <w:p w:rsidR="00066635" w:rsidRPr="00A732CD" w:rsidRDefault="00066635" w:rsidP="00DD3AAB">
      <w:pPr>
        <w:spacing w:line="22" w:lineRule="atLeast"/>
        <w:ind w:firstLine="851"/>
      </w:pPr>
    </w:p>
    <w:p w:rsidR="00066635" w:rsidRDefault="00066635" w:rsidP="00DD3AAB">
      <w:pPr>
        <w:spacing w:line="22" w:lineRule="atLeast"/>
        <w:ind w:firstLine="851"/>
        <w:rPr>
          <w:sz w:val="20"/>
          <w:szCs w:val="20"/>
        </w:rPr>
      </w:pPr>
      <w:r w:rsidRPr="0044605D">
        <w:rPr>
          <w:sz w:val="20"/>
          <w:szCs w:val="20"/>
        </w:rPr>
        <w:t>Сравнительный анализ представлен в таблице 1.</w:t>
      </w:r>
    </w:p>
    <w:p w:rsidR="0044605D" w:rsidRPr="0044605D" w:rsidRDefault="0044605D" w:rsidP="00DD3AAB">
      <w:pPr>
        <w:spacing w:line="22" w:lineRule="atLeast"/>
        <w:ind w:firstLine="851"/>
        <w:rPr>
          <w:b/>
          <w:sz w:val="20"/>
          <w:szCs w:val="20"/>
        </w:rPr>
      </w:pPr>
    </w:p>
    <w:p w:rsidR="00066635" w:rsidRPr="0044605D" w:rsidRDefault="00066635" w:rsidP="00DD3AAB">
      <w:pPr>
        <w:spacing w:line="22" w:lineRule="atLeast"/>
        <w:ind w:firstLine="851"/>
        <w:jc w:val="center"/>
        <w:rPr>
          <w:sz w:val="20"/>
          <w:szCs w:val="20"/>
        </w:rPr>
      </w:pPr>
      <w:r w:rsidRPr="0044605D">
        <w:rPr>
          <w:sz w:val="20"/>
          <w:szCs w:val="20"/>
        </w:rPr>
        <w:t>Таблица 1</w:t>
      </w:r>
    </w:p>
    <w:p w:rsidR="00066635" w:rsidRPr="0044605D" w:rsidRDefault="00066635" w:rsidP="00DD3AAB">
      <w:pPr>
        <w:spacing w:line="22" w:lineRule="atLeast"/>
        <w:ind w:firstLine="851"/>
        <w:jc w:val="center"/>
        <w:rPr>
          <w:sz w:val="20"/>
          <w:szCs w:val="20"/>
        </w:rPr>
      </w:pPr>
      <w:r w:rsidRPr="0044605D">
        <w:rPr>
          <w:sz w:val="20"/>
          <w:szCs w:val="20"/>
        </w:rPr>
        <w:t>Предоставление информации на официальных сайтах российских организаций банковских услуг</w:t>
      </w:r>
    </w:p>
    <w:tbl>
      <w:tblPr>
        <w:tblW w:w="79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25"/>
        <w:gridCol w:w="1986"/>
        <w:gridCol w:w="1538"/>
        <w:gridCol w:w="1380"/>
      </w:tblGrid>
      <w:tr w:rsidR="00066635" w:rsidRPr="0044605D" w:rsidTr="0044605D">
        <w:trPr>
          <w:jc w:val="center"/>
        </w:trPr>
        <w:tc>
          <w:tcPr>
            <w:tcW w:w="3025" w:type="dxa"/>
          </w:tcPr>
          <w:p w:rsidR="00066635" w:rsidRPr="0044605D" w:rsidRDefault="00066635" w:rsidP="00DD3AAB">
            <w:pPr>
              <w:spacing w:line="22" w:lineRule="atLeast"/>
              <w:ind w:firstLine="851"/>
              <w:jc w:val="center"/>
              <w:rPr>
                <w:sz w:val="20"/>
                <w:szCs w:val="20"/>
              </w:rPr>
            </w:pPr>
            <w:r w:rsidRPr="0044605D">
              <w:rPr>
                <w:sz w:val="20"/>
                <w:szCs w:val="20"/>
              </w:rPr>
              <w:t>Критерии оценки</w:t>
            </w:r>
          </w:p>
        </w:tc>
        <w:tc>
          <w:tcPr>
            <w:tcW w:w="1986" w:type="dxa"/>
          </w:tcPr>
          <w:p w:rsidR="00066635" w:rsidRPr="0044605D" w:rsidRDefault="00066635" w:rsidP="00DD3AAB">
            <w:pPr>
              <w:spacing w:line="22" w:lineRule="atLeast"/>
              <w:ind w:firstLine="0"/>
              <w:jc w:val="center"/>
              <w:rPr>
                <w:sz w:val="20"/>
                <w:szCs w:val="20"/>
              </w:rPr>
            </w:pPr>
            <w:r w:rsidRPr="0044605D">
              <w:rPr>
                <w:sz w:val="20"/>
                <w:szCs w:val="20"/>
              </w:rPr>
              <w:t>Сбербанк</w:t>
            </w:r>
          </w:p>
        </w:tc>
        <w:tc>
          <w:tcPr>
            <w:tcW w:w="1538" w:type="dxa"/>
          </w:tcPr>
          <w:p w:rsidR="00066635" w:rsidRPr="0044605D" w:rsidRDefault="00066635" w:rsidP="00DD3AAB">
            <w:pPr>
              <w:spacing w:line="22" w:lineRule="atLeast"/>
              <w:ind w:firstLine="0"/>
              <w:jc w:val="center"/>
              <w:rPr>
                <w:sz w:val="20"/>
                <w:szCs w:val="20"/>
              </w:rPr>
            </w:pPr>
            <w:r w:rsidRPr="0044605D">
              <w:rPr>
                <w:sz w:val="20"/>
                <w:szCs w:val="20"/>
              </w:rPr>
              <w:t>ВТБ</w:t>
            </w:r>
          </w:p>
        </w:tc>
        <w:tc>
          <w:tcPr>
            <w:tcW w:w="1380" w:type="dxa"/>
          </w:tcPr>
          <w:p w:rsidR="00066635" w:rsidRPr="0044605D" w:rsidRDefault="00066635" w:rsidP="00DD3AAB">
            <w:pPr>
              <w:spacing w:line="22" w:lineRule="atLeast"/>
              <w:ind w:firstLine="0"/>
              <w:jc w:val="center"/>
              <w:rPr>
                <w:sz w:val="20"/>
                <w:szCs w:val="20"/>
              </w:rPr>
            </w:pPr>
            <w:r w:rsidRPr="0044605D">
              <w:rPr>
                <w:sz w:val="20"/>
                <w:szCs w:val="20"/>
              </w:rPr>
              <w:t>Альфа-Банк</w:t>
            </w:r>
          </w:p>
        </w:tc>
      </w:tr>
      <w:tr w:rsidR="00066635" w:rsidRPr="0044605D" w:rsidTr="0044605D">
        <w:trPr>
          <w:jc w:val="center"/>
        </w:trPr>
        <w:tc>
          <w:tcPr>
            <w:tcW w:w="3025" w:type="dxa"/>
          </w:tcPr>
          <w:p w:rsidR="00066635" w:rsidRPr="0044605D" w:rsidRDefault="00066635" w:rsidP="00DD3AAB">
            <w:pPr>
              <w:spacing w:line="22" w:lineRule="atLeast"/>
              <w:ind w:firstLine="851"/>
              <w:jc w:val="center"/>
              <w:rPr>
                <w:sz w:val="20"/>
                <w:szCs w:val="20"/>
              </w:rPr>
            </w:pPr>
            <w:r w:rsidRPr="0044605D">
              <w:rPr>
                <w:sz w:val="20"/>
                <w:szCs w:val="20"/>
              </w:rPr>
              <w:t>Доступность</w:t>
            </w:r>
          </w:p>
        </w:tc>
        <w:tc>
          <w:tcPr>
            <w:tcW w:w="1986" w:type="dxa"/>
          </w:tcPr>
          <w:p w:rsidR="00066635" w:rsidRPr="0044605D" w:rsidRDefault="00066635" w:rsidP="00DD3AAB">
            <w:pPr>
              <w:spacing w:line="22" w:lineRule="atLeast"/>
              <w:ind w:firstLine="851"/>
              <w:jc w:val="center"/>
              <w:rPr>
                <w:sz w:val="20"/>
                <w:szCs w:val="20"/>
              </w:rPr>
            </w:pPr>
            <w:r w:rsidRPr="0044605D">
              <w:rPr>
                <w:sz w:val="20"/>
                <w:szCs w:val="20"/>
              </w:rPr>
              <w:t>4</w:t>
            </w:r>
          </w:p>
        </w:tc>
        <w:tc>
          <w:tcPr>
            <w:tcW w:w="1538" w:type="dxa"/>
          </w:tcPr>
          <w:p w:rsidR="00066635" w:rsidRPr="0044605D" w:rsidRDefault="00066635" w:rsidP="00DD3AAB">
            <w:pPr>
              <w:spacing w:line="22" w:lineRule="atLeast"/>
              <w:ind w:firstLine="851"/>
              <w:jc w:val="center"/>
              <w:rPr>
                <w:sz w:val="20"/>
                <w:szCs w:val="20"/>
              </w:rPr>
            </w:pPr>
            <w:r w:rsidRPr="0044605D">
              <w:rPr>
                <w:sz w:val="20"/>
                <w:szCs w:val="20"/>
              </w:rPr>
              <w:t>5</w:t>
            </w:r>
          </w:p>
        </w:tc>
        <w:tc>
          <w:tcPr>
            <w:tcW w:w="1380" w:type="dxa"/>
          </w:tcPr>
          <w:p w:rsidR="00066635" w:rsidRPr="0044605D" w:rsidRDefault="00066635" w:rsidP="00DD3AAB">
            <w:pPr>
              <w:spacing w:line="22" w:lineRule="atLeast"/>
              <w:ind w:firstLine="851"/>
              <w:jc w:val="center"/>
              <w:rPr>
                <w:sz w:val="20"/>
                <w:szCs w:val="20"/>
              </w:rPr>
            </w:pPr>
            <w:r w:rsidRPr="0044605D">
              <w:rPr>
                <w:sz w:val="20"/>
                <w:szCs w:val="20"/>
              </w:rPr>
              <w:t>4</w:t>
            </w:r>
          </w:p>
        </w:tc>
      </w:tr>
      <w:tr w:rsidR="00066635" w:rsidRPr="0044605D" w:rsidTr="0044605D">
        <w:trPr>
          <w:jc w:val="center"/>
        </w:trPr>
        <w:tc>
          <w:tcPr>
            <w:tcW w:w="3025" w:type="dxa"/>
          </w:tcPr>
          <w:p w:rsidR="00066635" w:rsidRPr="0044605D" w:rsidRDefault="00066635" w:rsidP="00DD3AAB">
            <w:pPr>
              <w:spacing w:line="22" w:lineRule="atLeast"/>
              <w:ind w:firstLine="851"/>
              <w:jc w:val="center"/>
              <w:rPr>
                <w:sz w:val="20"/>
                <w:szCs w:val="20"/>
              </w:rPr>
            </w:pPr>
            <w:r w:rsidRPr="0044605D">
              <w:rPr>
                <w:sz w:val="20"/>
                <w:szCs w:val="20"/>
              </w:rPr>
              <w:t>Легкость поиска</w:t>
            </w:r>
          </w:p>
        </w:tc>
        <w:tc>
          <w:tcPr>
            <w:tcW w:w="1986" w:type="dxa"/>
          </w:tcPr>
          <w:p w:rsidR="00066635" w:rsidRPr="0044605D" w:rsidRDefault="00066635" w:rsidP="00DD3AAB">
            <w:pPr>
              <w:spacing w:line="22" w:lineRule="atLeast"/>
              <w:ind w:firstLine="851"/>
              <w:jc w:val="center"/>
              <w:rPr>
                <w:sz w:val="20"/>
                <w:szCs w:val="20"/>
              </w:rPr>
            </w:pPr>
            <w:r w:rsidRPr="0044605D">
              <w:rPr>
                <w:sz w:val="20"/>
                <w:szCs w:val="20"/>
              </w:rPr>
              <w:t>4</w:t>
            </w:r>
          </w:p>
        </w:tc>
        <w:tc>
          <w:tcPr>
            <w:tcW w:w="1538" w:type="dxa"/>
          </w:tcPr>
          <w:p w:rsidR="00066635" w:rsidRPr="0044605D" w:rsidRDefault="00066635" w:rsidP="00DD3AAB">
            <w:pPr>
              <w:spacing w:line="22" w:lineRule="atLeast"/>
              <w:ind w:firstLine="851"/>
              <w:jc w:val="center"/>
              <w:rPr>
                <w:sz w:val="20"/>
                <w:szCs w:val="20"/>
              </w:rPr>
            </w:pPr>
            <w:r w:rsidRPr="0044605D">
              <w:rPr>
                <w:sz w:val="20"/>
                <w:szCs w:val="20"/>
              </w:rPr>
              <w:t>5</w:t>
            </w:r>
          </w:p>
        </w:tc>
        <w:tc>
          <w:tcPr>
            <w:tcW w:w="1380" w:type="dxa"/>
          </w:tcPr>
          <w:p w:rsidR="00066635" w:rsidRPr="0044605D" w:rsidRDefault="00066635" w:rsidP="00DD3AAB">
            <w:pPr>
              <w:spacing w:line="22" w:lineRule="atLeast"/>
              <w:ind w:firstLine="851"/>
              <w:jc w:val="center"/>
              <w:rPr>
                <w:sz w:val="20"/>
                <w:szCs w:val="20"/>
              </w:rPr>
            </w:pPr>
            <w:r w:rsidRPr="0044605D">
              <w:rPr>
                <w:sz w:val="20"/>
                <w:szCs w:val="20"/>
              </w:rPr>
              <w:t>5</w:t>
            </w:r>
          </w:p>
        </w:tc>
      </w:tr>
      <w:tr w:rsidR="00066635" w:rsidRPr="0044605D" w:rsidTr="0044605D">
        <w:trPr>
          <w:trHeight w:val="693"/>
          <w:jc w:val="center"/>
        </w:trPr>
        <w:tc>
          <w:tcPr>
            <w:tcW w:w="3025" w:type="dxa"/>
            <w:tcBorders>
              <w:bottom w:val="single" w:sz="4" w:space="0" w:color="auto"/>
            </w:tcBorders>
          </w:tcPr>
          <w:p w:rsidR="00066635" w:rsidRPr="0044605D" w:rsidRDefault="00066635" w:rsidP="00DD3AAB">
            <w:pPr>
              <w:spacing w:line="22" w:lineRule="atLeast"/>
              <w:ind w:firstLine="851"/>
              <w:jc w:val="center"/>
              <w:rPr>
                <w:sz w:val="20"/>
                <w:szCs w:val="20"/>
              </w:rPr>
            </w:pPr>
            <w:r w:rsidRPr="0044605D">
              <w:rPr>
                <w:sz w:val="20"/>
                <w:szCs w:val="20"/>
              </w:rPr>
              <w:lastRenderedPageBreak/>
              <w:t>Полнота информации</w:t>
            </w:r>
          </w:p>
        </w:tc>
        <w:tc>
          <w:tcPr>
            <w:tcW w:w="1986" w:type="dxa"/>
            <w:tcBorders>
              <w:bottom w:val="single" w:sz="4" w:space="0" w:color="auto"/>
            </w:tcBorders>
          </w:tcPr>
          <w:p w:rsidR="00066635" w:rsidRPr="0044605D" w:rsidRDefault="00066635" w:rsidP="00DD3AAB">
            <w:pPr>
              <w:spacing w:line="22" w:lineRule="atLeast"/>
              <w:ind w:firstLine="851"/>
              <w:jc w:val="center"/>
              <w:rPr>
                <w:sz w:val="20"/>
                <w:szCs w:val="20"/>
              </w:rPr>
            </w:pPr>
            <w:r w:rsidRPr="0044605D">
              <w:rPr>
                <w:sz w:val="20"/>
                <w:szCs w:val="20"/>
              </w:rPr>
              <w:t>5</w:t>
            </w:r>
          </w:p>
        </w:tc>
        <w:tc>
          <w:tcPr>
            <w:tcW w:w="1538" w:type="dxa"/>
            <w:tcBorders>
              <w:bottom w:val="single" w:sz="4" w:space="0" w:color="auto"/>
            </w:tcBorders>
          </w:tcPr>
          <w:p w:rsidR="00066635" w:rsidRPr="0044605D" w:rsidRDefault="00066635" w:rsidP="00DD3AAB">
            <w:pPr>
              <w:spacing w:line="22" w:lineRule="atLeast"/>
              <w:ind w:firstLine="851"/>
              <w:jc w:val="center"/>
              <w:rPr>
                <w:sz w:val="20"/>
                <w:szCs w:val="20"/>
              </w:rPr>
            </w:pPr>
            <w:r w:rsidRPr="0044605D">
              <w:rPr>
                <w:sz w:val="20"/>
                <w:szCs w:val="20"/>
              </w:rPr>
              <w:t>4</w:t>
            </w:r>
          </w:p>
        </w:tc>
        <w:tc>
          <w:tcPr>
            <w:tcW w:w="1380" w:type="dxa"/>
            <w:tcBorders>
              <w:bottom w:val="single" w:sz="4" w:space="0" w:color="auto"/>
            </w:tcBorders>
          </w:tcPr>
          <w:p w:rsidR="00066635" w:rsidRPr="0044605D" w:rsidRDefault="00066635" w:rsidP="00DD3AAB">
            <w:pPr>
              <w:spacing w:line="22" w:lineRule="atLeast"/>
              <w:ind w:firstLine="851"/>
              <w:jc w:val="center"/>
              <w:rPr>
                <w:sz w:val="20"/>
                <w:szCs w:val="20"/>
              </w:rPr>
            </w:pPr>
            <w:r w:rsidRPr="0044605D">
              <w:rPr>
                <w:sz w:val="20"/>
                <w:szCs w:val="20"/>
              </w:rPr>
              <w:t>5</w:t>
            </w:r>
          </w:p>
        </w:tc>
      </w:tr>
      <w:tr w:rsidR="00066635" w:rsidRPr="0044605D" w:rsidTr="0044605D">
        <w:trPr>
          <w:trHeight w:val="318"/>
          <w:jc w:val="center"/>
        </w:trPr>
        <w:tc>
          <w:tcPr>
            <w:tcW w:w="3025" w:type="dxa"/>
            <w:tcBorders>
              <w:top w:val="single" w:sz="4" w:space="0" w:color="auto"/>
            </w:tcBorders>
          </w:tcPr>
          <w:p w:rsidR="00066635" w:rsidRPr="0044605D" w:rsidRDefault="00066635" w:rsidP="00DD3AAB">
            <w:pPr>
              <w:spacing w:line="22" w:lineRule="atLeast"/>
              <w:ind w:firstLine="851"/>
              <w:jc w:val="center"/>
              <w:rPr>
                <w:sz w:val="20"/>
                <w:szCs w:val="20"/>
              </w:rPr>
            </w:pPr>
            <w:r w:rsidRPr="0044605D">
              <w:rPr>
                <w:sz w:val="20"/>
                <w:szCs w:val="20"/>
              </w:rPr>
              <w:t>Итого:</w:t>
            </w:r>
          </w:p>
        </w:tc>
        <w:tc>
          <w:tcPr>
            <w:tcW w:w="1986" w:type="dxa"/>
            <w:tcBorders>
              <w:top w:val="single" w:sz="4" w:space="0" w:color="auto"/>
            </w:tcBorders>
          </w:tcPr>
          <w:p w:rsidR="00066635" w:rsidRPr="0044605D" w:rsidRDefault="00066635" w:rsidP="00DD3AAB">
            <w:pPr>
              <w:spacing w:line="22" w:lineRule="atLeast"/>
              <w:ind w:firstLine="851"/>
              <w:jc w:val="center"/>
              <w:rPr>
                <w:sz w:val="20"/>
                <w:szCs w:val="20"/>
              </w:rPr>
            </w:pPr>
            <w:r w:rsidRPr="0044605D">
              <w:rPr>
                <w:sz w:val="20"/>
                <w:szCs w:val="20"/>
              </w:rPr>
              <w:t>13</w:t>
            </w:r>
          </w:p>
        </w:tc>
        <w:tc>
          <w:tcPr>
            <w:tcW w:w="1538" w:type="dxa"/>
            <w:tcBorders>
              <w:top w:val="single" w:sz="4" w:space="0" w:color="auto"/>
            </w:tcBorders>
          </w:tcPr>
          <w:p w:rsidR="00066635" w:rsidRPr="0044605D" w:rsidRDefault="00066635" w:rsidP="00DD3AAB">
            <w:pPr>
              <w:spacing w:line="22" w:lineRule="atLeast"/>
              <w:ind w:firstLine="851"/>
              <w:jc w:val="center"/>
              <w:rPr>
                <w:sz w:val="20"/>
                <w:szCs w:val="20"/>
              </w:rPr>
            </w:pPr>
            <w:r w:rsidRPr="0044605D">
              <w:rPr>
                <w:sz w:val="20"/>
                <w:szCs w:val="20"/>
              </w:rPr>
              <w:t>14</w:t>
            </w:r>
          </w:p>
        </w:tc>
        <w:tc>
          <w:tcPr>
            <w:tcW w:w="1380" w:type="dxa"/>
            <w:tcBorders>
              <w:top w:val="single" w:sz="4" w:space="0" w:color="auto"/>
            </w:tcBorders>
          </w:tcPr>
          <w:p w:rsidR="00066635" w:rsidRPr="0044605D" w:rsidRDefault="00066635" w:rsidP="00DD3AAB">
            <w:pPr>
              <w:spacing w:line="22" w:lineRule="atLeast"/>
              <w:ind w:firstLine="851"/>
              <w:jc w:val="center"/>
              <w:rPr>
                <w:sz w:val="20"/>
                <w:szCs w:val="20"/>
              </w:rPr>
            </w:pPr>
            <w:r w:rsidRPr="0044605D">
              <w:rPr>
                <w:sz w:val="20"/>
                <w:szCs w:val="20"/>
              </w:rPr>
              <w:t>14</w:t>
            </w:r>
          </w:p>
        </w:tc>
      </w:tr>
    </w:tbl>
    <w:p w:rsidR="00066635" w:rsidRDefault="00066635" w:rsidP="00DD3AAB">
      <w:pPr>
        <w:spacing w:line="22" w:lineRule="atLeast"/>
        <w:ind w:firstLine="851"/>
        <w:jc w:val="center"/>
      </w:pPr>
    </w:p>
    <w:p w:rsidR="00066635" w:rsidRPr="0044605D" w:rsidRDefault="00066635" w:rsidP="00DD3AAB">
      <w:pPr>
        <w:spacing w:line="22" w:lineRule="atLeast"/>
        <w:ind w:firstLine="851"/>
        <w:rPr>
          <w:sz w:val="20"/>
          <w:szCs w:val="20"/>
        </w:rPr>
      </w:pPr>
      <w:r w:rsidRPr="0044605D">
        <w:rPr>
          <w:sz w:val="20"/>
          <w:szCs w:val="20"/>
        </w:rPr>
        <w:t>Оценка проводилась с помощью балловых оценок – от 1 (информация не представлена на сайте) до 5 (нареканий нет, информация полная и доступная).</w:t>
      </w:r>
    </w:p>
    <w:p w:rsidR="00066635" w:rsidRPr="0044605D" w:rsidRDefault="00066635" w:rsidP="00DD3AAB">
      <w:pPr>
        <w:spacing w:line="22" w:lineRule="atLeast"/>
        <w:ind w:firstLine="851"/>
        <w:rPr>
          <w:sz w:val="20"/>
          <w:szCs w:val="20"/>
        </w:rPr>
      </w:pPr>
      <w:r w:rsidRPr="0044605D">
        <w:rPr>
          <w:sz w:val="20"/>
          <w:szCs w:val="20"/>
        </w:rPr>
        <w:t>Информация «Сбербанка» и «Альфа-Банка» доступна для клиентов: представлена информация о способе и условиях вкладов физических лиц. Вместе с тем, информация конкурента – «ВТБ» - представлена в виде памяток с условиями вкладов, что гораздо понятнее для клиента банка.</w:t>
      </w:r>
    </w:p>
    <w:p w:rsidR="00066635" w:rsidRPr="0044605D" w:rsidRDefault="00066635" w:rsidP="00DD3AAB">
      <w:pPr>
        <w:spacing w:line="22" w:lineRule="atLeast"/>
        <w:ind w:firstLine="851"/>
        <w:rPr>
          <w:sz w:val="20"/>
          <w:szCs w:val="20"/>
        </w:rPr>
      </w:pPr>
      <w:r w:rsidRPr="0044605D">
        <w:rPr>
          <w:sz w:val="20"/>
          <w:szCs w:val="20"/>
        </w:rPr>
        <w:t xml:space="preserve">Что касается лёгкости поиска, то у «Сбербанка» </w:t>
      </w:r>
      <w:r w:rsidR="00026A63" w:rsidRPr="0044605D">
        <w:rPr>
          <w:sz w:val="20"/>
          <w:szCs w:val="20"/>
        </w:rPr>
        <w:t>необходимая</w:t>
      </w:r>
      <w:r w:rsidRPr="0044605D">
        <w:rPr>
          <w:sz w:val="20"/>
          <w:szCs w:val="20"/>
        </w:rPr>
        <w:t xml:space="preserve"> информация находится в общем разделе «Услуги», а у конкурентов – в разделе «Вклады», что интуитивно понятно для клиента, который будет интересоваться вкладами.</w:t>
      </w:r>
    </w:p>
    <w:p w:rsidR="00066635" w:rsidRPr="0044605D" w:rsidRDefault="00066635" w:rsidP="00DD3AAB">
      <w:pPr>
        <w:spacing w:line="22" w:lineRule="atLeast"/>
        <w:ind w:firstLine="851"/>
        <w:rPr>
          <w:sz w:val="20"/>
          <w:szCs w:val="20"/>
        </w:rPr>
      </w:pPr>
      <w:r w:rsidRPr="0044605D">
        <w:rPr>
          <w:sz w:val="20"/>
          <w:szCs w:val="20"/>
        </w:rPr>
        <w:t xml:space="preserve">Исследуем полноту информации о вкладах на сайтах банков. </w:t>
      </w:r>
      <w:proofErr w:type="gramStart"/>
      <w:r w:rsidRPr="0044605D">
        <w:rPr>
          <w:sz w:val="20"/>
          <w:szCs w:val="20"/>
        </w:rPr>
        <w:t>У «Сбербанка» и «Альфа-Банка» представлена информация об условиях вкладов, различных опциях, льготах, предоставляемых услугах, счетах, в то время как у «ВТБ» данная информация смешана с другими банковскими услугами, представлена информация об условиях вкладов, различных опциях, льготах, предоставляемых услугах, счетах.</w:t>
      </w:r>
      <w:proofErr w:type="gramEnd"/>
    </w:p>
    <w:p w:rsidR="00066635" w:rsidRDefault="00066635" w:rsidP="00DD3AAB">
      <w:pPr>
        <w:spacing w:line="22" w:lineRule="atLeast"/>
        <w:ind w:firstLine="851"/>
      </w:pPr>
    </w:p>
    <w:p w:rsidR="00066635" w:rsidRPr="00A732CD" w:rsidRDefault="00066635" w:rsidP="00DD3AAB">
      <w:pPr>
        <w:spacing w:line="22" w:lineRule="atLeast"/>
        <w:ind w:firstLine="851"/>
        <w:jc w:val="center"/>
        <w:rPr>
          <w:sz w:val="20"/>
          <w:szCs w:val="20"/>
        </w:rPr>
      </w:pPr>
      <w:r w:rsidRPr="00A732CD">
        <w:rPr>
          <w:sz w:val="20"/>
          <w:szCs w:val="20"/>
          <w:lang w:val="en-US"/>
        </w:rPr>
        <w:t>V</w:t>
      </w:r>
      <w:r w:rsidRPr="00A732CD">
        <w:rPr>
          <w:sz w:val="20"/>
          <w:szCs w:val="20"/>
        </w:rPr>
        <w:t>. ОБСУЖДЕНИЕ РЕЗУЛЬТАТОВ</w:t>
      </w:r>
    </w:p>
    <w:p w:rsidR="00066635" w:rsidRPr="00A732CD" w:rsidRDefault="00066635" w:rsidP="00DD3AAB">
      <w:pPr>
        <w:spacing w:line="22" w:lineRule="atLeast"/>
        <w:ind w:firstLine="851"/>
      </w:pPr>
    </w:p>
    <w:p w:rsidR="00066635" w:rsidRPr="0044605D" w:rsidRDefault="00066635" w:rsidP="00DD3AAB">
      <w:pPr>
        <w:spacing w:line="22" w:lineRule="atLeast"/>
        <w:ind w:firstLine="851"/>
        <w:rPr>
          <w:color w:val="000000"/>
          <w:sz w:val="20"/>
          <w:szCs w:val="20"/>
        </w:rPr>
      </w:pPr>
      <w:r w:rsidRPr="0044605D">
        <w:rPr>
          <w:sz w:val="20"/>
          <w:szCs w:val="20"/>
        </w:rPr>
        <w:t>Таким образом, все анализируемые сайты достаточно удобны в поисках нужной информ</w:t>
      </w:r>
      <w:r w:rsidRPr="0044605D">
        <w:rPr>
          <w:color w:val="000000"/>
          <w:sz w:val="20"/>
          <w:szCs w:val="20"/>
        </w:rPr>
        <w:t>ации. По полноте и доступности информации сайт «Сбербанка» уступает сайтам «ВТБ» и «Альфа-Банка».</w:t>
      </w:r>
    </w:p>
    <w:p w:rsidR="00066635" w:rsidRPr="0044605D" w:rsidRDefault="00066635" w:rsidP="00DD3AAB">
      <w:pPr>
        <w:spacing w:line="22" w:lineRule="atLeast"/>
        <w:ind w:firstLine="851"/>
        <w:rPr>
          <w:color w:val="000000"/>
          <w:sz w:val="20"/>
          <w:szCs w:val="20"/>
        </w:rPr>
      </w:pPr>
      <w:proofErr w:type="gramStart"/>
      <w:r w:rsidRPr="0044605D">
        <w:rPr>
          <w:color w:val="000000"/>
          <w:sz w:val="20"/>
          <w:szCs w:val="20"/>
          <w:shd w:val="clear" w:color="auto" w:fill="FFFFFF"/>
        </w:rPr>
        <w:t>Веб-сайт «ВТБ» характерен методичным использованием лучших практик, реализованных ранее на веб-сайтах других банков - он реализует лучшие решения в описании всех банковских продуктов, удобства навигации по сайту, подборе и сравнении услуг вклада, наличии форм заявок на получение новых продуктов.</w:t>
      </w:r>
      <w:proofErr w:type="gramEnd"/>
      <w:r w:rsidRPr="0044605D">
        <w:rPr>
          <w:color w:val="000000"/>
          <w:sz w:val="20"/>
          <w:szCs w:val="20"/>
          <w:shd w:val="clear" w:color="auto" w:fill="FFFFFF"/>
        </w:rPr>
        <w:t xml:space="preserve"> Информация о вкладах </w:t>
      </w:r>
      <w:bookmarkStart w:id="1" w:name="_GoBack"/>
      <w:bookmarkEnd w:id="1"/>
      <w:r w:rsidRPr="0044605D">
        <w:rPr>
          <w:color w:val="000000"/>
          <w:sz w:val="20"/>
          <w:szCs w:val="20"/>
          <w:shd w:val="clear" w:color="auto" w:fill="FFFFFF"/>
        </w:rPr>
        <w:t>не перегружена картинками, шрифт крупный, практически без сносок под основным текстом.</w:t>
      </w:r>
    </w:p>
    <w:p w:rsidR="00066635" w:rsidRPr="0044605D" w:rsidRDefault="00066635" w:rsidP="00DD3AAB">
      <w:pPr>
        <w:spacing w:line="22" w:lineRule="atLeast"/>
        <w:ind w:firstLine="851"/>
        <w:rPr>
          <w:color w:val="000000"/>
          <w:sz w:val="20"/>
          <w:szCs w:val="20"/>
          <w:shd w:val="clear" w:color="auto" w:fill="FFFFFF"/>
        </w:rPr>
      </w:pPr>
      <w:r w:rsidRPr="0044605D">
        <w:rPr>
          <w:color w:val="000000"/>
          <w:sz w:val="20"/>
          <w:szCs w:val="20"/>
        </w:rPr>
        <w:t xml:space="preserve">Этот сайт отличается </w:t>
      </w:r>
      <w:r w:rsidRPr="0044605D">
        <w:rPr>
          <w:color w:val="000000"/>
          <w:sz w:val="20"/>
          <w:szCs w:val="20"/>
          <w:shd w:val="clear" w:color="auto" w:fill="FFFFFF"/>
        </w:rPr>
        <w:t xml:space="preserve">удобной для пользователя навигационной концепцией, в которой принципы подачи информации предполагают лаконичность, применение памяток, ориентированных на клиента, визуально удобных для изучения всей необходимой информации. Сайт старается говорить на языке пользователя услуг, знакомыми терминами, но это часто приводит к тому, что информация о конкретной услуге смешивается с информацией по другим услугам – банк стремится </w:t>
      </w:r>
      <w:r w:rsidR="00026A63" w:rsidRPr="0044605D">
        <w:rPr>
          <w:color w:val="000000"/>
          <w:sz w:val="20"/>
          <w:szCs w:val="20"/>
          <w:shd w:val="clear" w:color="auto" w:fill="FFFFFF"/>
        </w:rPr>
        <w:t>преподнести</w:t>
      </w:r>
      <w:r w:rsidRPr="0044605D">
        <w:rPr>
          <w:color w:val="000000"/>
          <w:sz w:val="20"/>
          <w:szCs w:val="20"/>
          <w:shd w:val="clear" w:color="auto" w:fill="FFFFFF"/>
        </w:rPr>
        <w:t xml:space="preserve"> свои услуги «в комплексе». Но за счёт этого сайт выигрывает с точки зрения полноты информации, необходимой клиенту для принятия решения об использовании банковского продукта – ему не нужно уточнять подробности по телефону или у консультанта.</w:t>
      </w:r>
    </w:p>
    <w:p w:rsidR="00066635" w:rsidRPr="0044605D" w:rsidRDefault="00066635" w:rsidP="00DD3AAB">
      <w:pPr>
        <w:spacing w:line="22" w:lineRule="atLeast"/>
        <w:ind w:firstLine="851"/>
        <w:rPr>
          <w:color w:val="000000"/>
          <w:sz w:val="20"/>
          <w:szCs w:val="20"/>
          <w:shd w:val="clear" w:color="auto" w:fill="FFFFFF"/>
        </w:rPr>
      </w:pPr>
      <w:r w:rsidRPr="0044605D">
        <w:rPr>
          <w:color w:val="000000"/>
          <w:sz w:val="20"/>
          <w:szCs w:val="20"/>
          <w:shd w:val="clear" w:color="auto" w:fill="FFFFFF"/>
        </w:rPr>
        <w:t>Веб-сайт «Сбербанка» стремится реализовать классический формат банковского веб-сайта, отличаясь большими объемами текстовой информации, которая не всегда удобна для навигации и восприятия пользователей. Информационные продукты представлены в беспристрастной, четкой, полной и хорошо документированной форме, но клиент не всегда сможет найти и понять материал.</w:t>
      </w:r>
    </w:p>
    <w:p w:rsidR="00066635" w:rsidRPr="0044605D" w:rsidRDefault="00066635" w:rsidP="00DD3AAB">
      <w:pPr>
        <w:spacing w:line="22" w:lineRule="atLeast"/>
        <w:ind w:firstLine="851"/>
        <w:rPr>
          <w:color w:val="000000"/>
          <w:sz w:val="20"/>
          <w:szCs w:val="20"/>
          <w:shd w:val="clear" w:color="auto" w:fill="FFFFFF"/>
        </w:rPr>
      </w:pPr>
      <w:r w:rsidRPr="0044605D">
        <w:rPr>
          <w:color w:val="000000"/>
          <w:sz w:val="20"/>
          <w:szCs w:val="20"/>
          <w:shd w:val="clear" w:color="auto" w:fill="FFFFFF"/>
        </w:rPr>
        <w:t xml:space="preserve"> </w:t>
      </w:r>
      <w:r w:rsidRPr="0044605D">
        <w:rPr>
          <w:color w:val="000000"/>
          <w:sz w:val="20"/>
          <w:szCs w:val="20"/>
        </w:rPr>
        <w:t xml:space="preserve">Сайт </w:t>
      </w:r>
      <w:r w:rsidRPr="0044605D">
        <w:rPr>
          <w:color w:val="000000"/>
          <w:sz w:val="20"/>
          <w:szCs w:val="20"/>
          <w:shd w:val="clear" w:color="auto" w:fill="FFFFFF"/>
        </w:rPr>
        <w:t>тяготеет к эмоциональной коммуникации с клиентами при продаже новых продуктов, игнорируя рациональный аспект – возможность узнать конкретные сведения по продуктам на сайте, чтобы не пришлось</w:t>
      </w:r>
      <w:r>
        <w:rPr>
          <w:color w:val="000000"/>
          <w:shd w:val="clear" w:color="auto" w:fill="FFFFFF"/>
        </w:rPr>
        <w:t xml:space="preserve"> </w:t>
      </w:r>
      <w:r w:rsidRPr="0044605D">
        <w:rPr>
          <w:color w:val="000000"/>
          <w:sz w:val="20"/>
          <w:szCs w:val="20"/>
          <w:shd w:val="clear" w:color="auto" w:fill="FFFFFF"/>
        </w:rPr>
        <w:t>обращаться к консультанту. В итоге у клиента остаётся много невыясненных вопросов об условиях вклада.</w:t>
      </w:r>
    </w:p>
    <w:p w:rsidR="00066635" w:rsidRPr="0044605D" w:rsidRDefault="00066635" w:rsidP="00DD3AAB">
      <w:pPr>
        <w:spacing w:line="22" w:lineRule="atLeast"/>
        <w:ind w:firstLine="851"/>
        <w:rPr>
          <w:color w:val="000000"/>
          <w:sz w:val="20"/>
          <w:szCs w:val="20"/>
          <w:shd w:val="clear" w:color="auto" w:fill="FFFFFF"/>
        </w:rPr>
      </w:pPr>
      <w:proofErr w:type="gramStart"/>
      <w:r w:rsidRPr="0044605D">
        <w:rPr>
          <w:color w:val="000000"/>
          <w:sz w:val="20"/>
          <w:szCs w:val="20"/>
          <w:shd w:val="clear" w:color="auto" w:fill="FFFFFF"/>
        </w:rPr>
        <w:t>«Альфа-Банк» сделал акцент на  эмоциональную визуальную коммуникацию и получили низкую оценку по показателю «Доступность» из-за недостаточного объема необходимой информации по продуктам, отсутствия сервисов подбора и сравнения продуктов, слабой информационной поддержки существующих клиентов на сайте, предполагая, что они должны сами находить информацию или обращаться за более доступной для понимания информацией к консультанту.</w:t>
      </w:r>
      <w:proofErr w:type="gramEnd"/>
    </w:p>
    <w:p w:rsidR="00066635" w:rsidRDefault="00066635" w:rsidP="0044605D">
      <w:pPr>
        <w:spacing w:line="100" w:lineRule="atLeast"/>
        <w:ind w:firstLine="851"/>
        <w:rPr>
          <w:color w:val="000000"/>
          <w:shd w:val="clear" w:color="auto" w:fill="FFFFFF"/>
        </w:rPr>
      </w:pPr>
    </w:p>
    <w:p w:rsidR="00066635" w:rsidRPr="00A732CD" w:rsidRDefault="0044605D" w:rsidP="0044605D">
      <w:pPr>
        <w:spacing w:line="100" w:lineRule="atLeast"/>
        <w:ind w:firstLine="851"/>
        <w:jc w:val="center"/>
        <w:rPr>
          <w:sz w:val="20"/>
          <w:szCs w:val="20"/>
        </w:rPr>
      </w:pPr>
      <w:r w:rsidRPr="00954E65">
        <w:rPr>
          <w:smallCaps/>
          <w:color w:val="000000"/>
          <w:sz w:val="20"/>
          <w:szCs w:val="20"/>
        </w:rPr>
        <w:t>VI</w:t>
      </w:r>
      <w:r w:rsidR="00066635" w:rsidRPr="00A732CD">
        <w:rPr>
          <w:sz w:val="20"/>
          <w:szCs w:val="20"/>
        </w:rPr>
        <w:t xml:space="preserve">. </w:t>
      </w:r>
      <w:r w:rsidR="00066635">
        <w:rPr>
          <w:sz w:val="20"/>
          <w:szCs w:val="20"/>
        </w:rPr>
        <w:t>ВЫВОДЫ И ЗАКЛЮЧЕНИЕ</w:t>
      </w:r>
    </w:p>
    <w:p w:rsidR="00066635" w:rsidRDefault="00066635" w:rsidP="00DD3AAB">
      <w:pPr>
        <w:spacing w:line="22" w:lineRule="atLeast"/>
        <w:ind w:firstLine="851"/>
        <w:rPr>
          <w:color w:val="000000"/>
          <w:shd w:val="clear" w:color="auto" w:fill="FFFFFF"/>
        </w:rPr>
      </w:pPr>
    </w:p>
    <w:p w:rsidR="00066635" w:rsidRPr="0044605D" w:rsidRDefault="00066635" w:rsidP="00DD3AAB">
      <w:pPr>
        <w:spacing w:line="22" w:lineRule="atLeast"/>
        <w:ind w:firstLine="851"/>
        <w:rPr>
          <w:sz w:val="20"/>
          <w:szCs w:val="20"/>
        </w:rPr>
      </w:pPr>
      <w:r w:rsidRPr="0044605D">
        <w:rPr>
          <w:sz w:val="20"/>
          <w:szCs w:val="20"/>
        </w:rPr>
        <w:t xml:space="preserve">Таким образом, высокое качество банковского сайта невозможно без серьезного отношения руководства банка к Интернету как к одному из важных направлений в продвижении собственных услуг. Необходимо создать сайт, понятный для всех пользователей банковских услуг, с доступной для нахождения и понимания информацией, которая являлась бы прямым ответом на вопрос «как сделать вклад и какую прибыль я от этого получу </w:t>
      </w:r>
      <w:r w:rsidR="00026A63" w:rsidRPr="0044605D">
        <w:rPr>
          <w:sz w:val="20"/>
          <w:szCs w:val="20"/>
        </w:rPr>
        <w:t xml:space="preserve">и </w:t>
      </w:r>
      <w:r w:rsidRPr="0044605D">
        <w:rPr>
          <w:sz w:val="20"/>
          <w:szCs w:val="20"/>
        </w:rPr>
        <w:t xml:space="preserve">на каких условиях?» Следствиями такого отношения, как правило, являются: включение </w:t>
      </w:r>
      <w:proofErr w:type="gramStart"/>
      <w:r w:rsidRPr="0044605D">
        <w:rPr>
          <w:sz w:val="20"/>
          <w:szCs w:val="20"/>
        </w:rPr>
        <w:t>интернет-составляющей</w:t>
      </w:r>
      <w:proofErr w:type="gramEnd"/>
      <w:r w:rsidRPr="0044605D">
        <w:rPr>
          <w:sz w:val="20"/>
          <w:szCs w:val="20"/>
        </w:rPr>
        <w:t xml:space="preserve"> в стратегию банка и программы по привлечению и обслуживанию клиентов, создание полнофункционального корпоратив</w:t>
      </w:r>
      <w:r w:rsidRPr="0044605D">
        <w:rPr>
          <w:rFonts w:ascii="Tahoma" w:hAnsi="Tahoma" w:cs="Tahoma"/>
          <w:sz w:val="20"/>
          <w:szCs w:val="20"/>
        </w:rPr>
        <w:t>н</w:t>
      </w:r>
      <w:r w:rsidRPr="0044605D">
        <w:rPr>
          <w:sz w:val="20"/>
          <w:szCs w:val="20"/>
        </w:rPr>
        <w:t xml:space="preserve">ого веб-сайта банка (при необходимости, создание специализированных </w:t>
      </w:r>
      <w:r w:rsidRPr="0044605D">
        <w:rPr>
          <w:sz w:val="20"/>
          <w:szCs w:val="20"/>
        </w:rPr>
        <w:lastRenderedPageBreak/>
        <w:t>интернет-систем и сайтов, призванных решать специальные задачи), обучение персонала работе с веб-инструментами, выделение необходимых ресурсов на развитие этого направления и т.д. [3]</w:t>
      </w:r>
    </w:p>
    <w:p w:rsidR="00066635" w:rsidRDefault="00066635" w:rsidP="0044605D">
      <w:pPr>
        <w:spacing w:line="100" w:lineRule="atLeast"/>
        <w:ind w:firstLine="851"/>
      </w:pPr>
    </w:p>
    <w:p w:rsidR="00066635" w:rsidRPr="00426896" w:rsidRDefault="00066635" w:rsidP="0044605D">
      <w:pPr>
        <w:pStyle w:val="1"/>
        <w:spacing w:before="0" w:after="0" w:line="100" w:lineRule="atLeast"/>
        <w:ind w:firstLine="851"/>
        <w:jc w:val="center"/>
        <w:rPr>
          <w:rFonts w:ascii="Times New Roman" w:hAnsi="Times New Roman"/>
          <w:b w:val="0"/>
          <w:sz w:val="20"/>
          <w:szCs w:val="20"/>
        </w:rPr>
      </w:pPr>
      <w:bookmarkStart w:id="2" w:name="_Toc494482889"/>
      <w:r w:rsidRPr="00426896">
        <w:rPr>
          <w:rFonts w:ascii="Times New Roman" w:hAnsi="Times New Roman"/>
          <w:b w:val="0"/>
          <w:sz w:val="20"/>
          <w:szCs w:val="20"/>
        </w:rPr>
        <w:t>СПИСОК ЛИТЕРАТУРЫ</w:t>
      </w:r>
      <w:bookmarkEnd w:id="2"/>
    </w:p>
    <w:p w:rsidR="00066635" w:rsidRDefault="00066635" w:rsidP="00DD3AAB">
      <w:pPr>
        <w:spacing w:line="22" w:lineRule="atLeast"/>
        <w:ind w:firstLine="851"/>
      </w:pPr>
    </w:p>
    <w:p w:rsidR="00066635" w:rsidRPr="0044605D" w:rsidRDefault="00066635" w:rsidP="00DD3AAB">
      <w:pPr>
        <w:spacing w:line="22" w:lineRule="atLeast"/>
        <w:ind w:firstLine="851"/>
        <w:rPr>
          <w:sz w:val="20"/>
          <w:szCs w:val="20"/>
        </w:rPr>
      </w:pPr>
      <w:r w:rsidRPr="0044605D">
        <w:rPr>
          <w:sz w:val="20"/>
          <w:szCs w:val="20"/>
        </w:rPr>
        <w:t xml:space="preserve">1. Алавердов А.Р. Стратегический менеджмент в коммерческом банке. – М: </w:t>
      </w:r>
      <w:proofErr w:type="spellStart"/>
      <w:r w:rsidRPr="0044605D">
        <w:rPr>
          <w:sz w:val="20"/>
          <w:szCs w:val="20"/>
        </w:rPr>
        <w:t>Маркет</w:t>
      </w:r>
      <w:proofErr w:type="spellEnd"/>
      <w:r w:rsidRPr="0044605D">
        <w:rPr>
          <w:sz w:val="20"/>
          <w:szCs w:val="20"/>
        </w:rPr>
        <w:t xml:space="preserve"> ДС,</w:t>
      </w:r>
      <w:r w:rsidR="0044605D">
        <w:rPr>
          <w:sz w:val="20"/>
          <w:szCs w:val="20"/>
        </w:rPr>
        <w:t xml:space="preserve"> –</w:t>
      </w:r>
      <w:r w:rsidRPr="0044605D">
        <w:rPr>
          <w:sz w:val="20"/>
          <w:szCs w:val="20"/>
        </w:rPr>
        <w:t xml:space="preserve"> 2012. </w:t>
      </w:r>
      <w:r w:rsidR="0044605D">
        <w:rPr>
          <w:sz w:val="20"/>
          <w:szCs w:val="20"/>
        </w:rPr>
        <w:t>–</w:t>
      </w:r>
      <w:r w:rsidR="0020429C">
        <w:rPr>
          <w:sz w:val="20"/>
          <w:szCs w:val="20"/>
        </w:rPr>
        <w:t xml:space="preserve">  576</w:t>
      </w:r>
      <w:r w:rsidRPr="0044605D">
        <w:rPr>
          <w:sz w:val="20"/>
          <w:szCs w:val="20"/>
        </w:rPr>
        <w:t>с.</w:t>
      </w:r>
    </w:p>
    <w:p w:rsidR="00066635" w:rsidRPr="0044605D" w:rsidRDefault="00066635" w:rsidP="00DD3AAB">
      <w:pPr>
        <w:spacing w:line="22" w:lineRule="atLeast"/>
        <w:ind w:firstLine="851"/>
        <w:rPr>
          <w:sz w:val="20"/>
          <w:szCs w:val="20"/>
        </w:rPr>
      </w:pPr>
      <w:r w:rsidRPr="0044605D">
        <w:rPr>
          <w:sz w:val="20"/>
          <w:szCs w:val="20"/>
        </w:rPr>
        <w:t xml:space="preserve">2. Банковское дело: экспресс-курс / под ред. О.И. Лаврушина. – М: КноРус, </w:t>
      </w:r>
      <w:r w:rsidR="0044605D">
        <w:rPr>
          <w:sz w:val="20"/>
          <w:szCs w:val="20"/>
        </w:rPr>
        <w:t xml:space="preserve">– </w:t>
      </w:r>
      <w:r w:rsidRPr="0044605D">
        <w:rPr>
          <w:sz w:val="20"/>
          <w:szCs w:val="20"/>
        </w:rPr>
        <w:t>2014. – 348 с.</w:t>
      </w:r>
    </w:p>
    <w:p w:rsidR="004200F0" w:rsidRPr="002A50F2" w:rsidRDefault="00066635" w:rsidP="00DD3AAB">
      <w:pPr>
        <w:spacing w:line="22" w:lineRule="atLeast"/>
        <w:ind w:left="708" w:firstLine="143"/>
        <w:rPr>
          <w:sz w:val="20"/>
          <w:szCs w:val="20"/>
          <w:lang w:val="en-US"/>
        </w:rPr>
      </w:pPr>
      <w:r w:rsidRPr="004200F0">
        <w:rPr>
          <w:sz w:val="20"/>
          <w:szCs w:val="20"/>
          <w:lang w:val="en-US"/>
        </w:rPr>
        <w:t xml:space="preserve">3. </w:t>
      </w:r>
      <w:proofErr w:type="spellStart"/>
      <w:r w:rsidR="004200F0" w:rsidRPr="002A50F2">
        <w:rPr>
          <w:sz w:val="20"/>
          <w:szCs w:val="20"/>
          <w:lang w:val="en-US"/>
        </w:rPr>
        <w:t>Currim</w:t>
      </w:r>
      <w:proofErr w:type="spellEnd"/>
      <w:r w:rsidR="004200F0" w:rsidRPr="002A50F2">
        <w:rPr>
          <w:sz w:val="20"/>
          <w:szCs w:val="20"/>
          <w:lang w:val="en-US"/>
        </w:rPr>
        <w:t xml:space="preserve">, I.S., </w:t>
      </w:r>
      <w:proofErr w:type="spellStart"/>
      <w:r w:rsidR="004200F0" w:rsidRPr="002A50F2">
        <w:rPr>
          <w:sz w:val="20"/>
          <w:szCs w:val="20"/>
          <w:lang w:val="en-US"/>
        </w:rPr>
        <w:t>Mintz</w:t>
      </w:r>
      <w:proofErr w:type="spellEnd"/>
      <w:r w:rsidR="004200F0" w:rsidRPr="002A50F2">
        <w:rPr>
          <w:sz w:val="20"/>
          <w:szCs w:val="20"/>
          <w:lang w:val="en-US"/>
        </w:rPr>
        <w:t xml:space="preserve">, O., </w:t>
      </w:r>
      <w:proofErr w:type="spellStart"/>
      <w:r w:rsidR="004200F0" w:rsidRPr="002A50F2">
        <w:rPr>
          <w:sz w:val="20"/>
          <w:szCs w:val="20"/>
          <w:lang w:val="en-US"/>
        </w:rPr>
        <w:t>Siddarth</w:t>
      </w:r>
      <w:proofErr w:type="spellEnd"/>
      <w:r w:rsidR="004200F0" w:rsidRPr="002A50F2">
        <w:rPr>
          <w:sz w:val="20"/>
          <w:szCs w:val="20"/>
          <w:lang w:val="en-US"/>
        </w:rPr>
        <w:t>, S. Information Accessed or Information Available? The Impact on Consumer Preferences Inferred at a Durable Product E-commerce Website //Journal of Interactive Marketing</w:t>
      </w:r>
      <w:r w:rsidR="004200F0">
        <w:rPr>
          <w:sz w:val="20"/>
          <w:szCs w:val="20"/>
          <w:lang w:val="en-US"/>
        </w:rPr>
        <w:t>, 29(C),</w:t>
      </w:r>
      <w:r w:rsidR="004200F0" w:rsidRPr="004200F0">
        <w:rPr>
          <w:sz w:val="20"/>
          <w:szCs w:val="20"/>
          <w:lang w:val="en-US"/>
        </w:rPr>
        <w:t xml:space="preserve"> </w:t>
      </w:r>
      <w:proofErr w:type="gramStart"/>
      <w:r w:rsidR="004200F0" w:rsidRPr="004200F0">
        <w:rPr>
          <w:sz w:val="20"/>
          <w:szCs w:val="20"/>
          <w:lang w:val="en-US"/>
        </w:rPr>
        <w:t xml:space="preserve">– </w:t>
      </w:r>
      <w:r w:rsidR="004200F0">
        <w:rPr>
          <w:sz w:val="20"/>
          <w:szCs w:val="20"/>
          <w:lang w:val="en-US"/>
        </w:rPr>
        <w:t xml:space="preserve"> 2015</w:t>
      </w:r>
      <w:proofErr w:type="gramEnd"/>
      <w:r w:rsidR="004200F0">
        <w:rPr>
          <w:sz w:val="20"/>
          <w:szCs w:val="20"/>
          <w:lang w:val="en-US"/>
        </w:rPr>
        <w:t xml:space="preserve">. </w:t>
      </w:r>
      <w:r w:rsidR="004200F0" w:rsidRPr="004200F0">
        <w:rPr>
          <w:sz w:val="20"/>
          <w:szCs w:val="20"/>
          <w:lang w:val="en-US"/>
        </w:rPr>
        <w:t>–</w:t>
      </w:r>
      <w:r w:rsidR="004200F0" w:rsidRPr="002A50F2">
        <w:rPr>
          <w:sz w:val="20"/>
          <w:szCs w:val="20"/>
          <w:lang w:val="en-US"/>
        </w:rPr>
        <w:t xml:space="preserve"> </w:t>
      </w:r>
      <w:proofErr w:type="gramStart"/>
      <w:r w:rsidR="004200F0" w:rsidRPr="002A50F2">
        <w:rPr>
          <w:sz w:val="20"/>
          <w:szCs w:val="20"/>
          <w:lang w:val="en-US"/>
        </w:rPr>
        <w:t>pp.11-25</w:t>
      </w:r>
      <w:proofErr w:type="gramEnd"/>
      <w:r w:rsidR="004200F0" w:rsidRPr="002A50F2">
        <w:rPr>
          <w:sz w:val="20"/>
          <w:szCs w:val="20"/>
          <w:lang w:val="en-US"/>
        </w:rPr>
        <w:t>.</w:t>
      </w:r>
    </w:p>
    <w:p w:rsidR="00066635" w:rsidRPr="0044605D" w:rsidRDefault="00066635" w:rsidP="00DD3AAB">
      <w:pPr>
        <w:spacing w:line="22" w:lineRule="atLeast"/>
        <w:ind w:firstLine="851"/>
        <w:rPr>
          <w:sz w:val="20"/>
          <w:szCs w:val="20"/>
        </w:rPr>
      </w:pPr>
      <w:r w:rsidRPr="0044605D">
        <w:rPr>
          <w:sz w:val="20"/>
          <w:szCs w:val="20"/>
        </w:rPr>
        <w:t xml:space="preserve">4. Виноградова Т.Н. Банковские операции. – М: </w:t>
      </w:r>
      <w:proofErr w:type="spellStart"/>
      <w:r w:rsidRPr="0044605D">
        <w:rPr>
          <w:sz w:val="20"/>
          <w:szCs w:val="20"/>
        </w:rPr>
        <w:t>Юрайт</w:t>
      </w:r>
      <w:proofErr w:type="spellEnd"/>
      <w:r w:rsidRPr="0044605D">
        <w:rPr>
          <w:sz w:val="20"/>
          <w:szCs w:val="20"/>
        </w:rPr>
        <w:t>,</w:t>
      </w:r>
      <w:r w:rsidR="0044605D">
        <w:rPr>
          <w:sz w:val="20"/>
          <w:szCs w:val="20"/>
        </w:rPr>
        <w:t xml:space="preserve"> –</w:t>
      </w:r>
      <w:r w:rsidRPr="0044605D">
        <w:rPr>
          <w:sz w:val="20"/>
          <w:szCs w:val="20"/>
        </w:rPr>
        <w:t xml:space="preserve"> 2014. – 422 с.</w:t>
      </w:r>
    </w:p>
    <w:p w:rsidR="00066635" w:rsidRPr="0044605D" w:rsidRDefault="00066635" w:rsidP="00DD3AAB">
      <w:pPr>
        <w:spacing w:line="22" w:lineRule="atLeast"/>
        <w:ind w:firstLine="851"/>
        <w:rPr>
          <w:sz w:val="20"/>
          <w:szCs w:val="20"/>
        </w:rPr>
      </w:pPr>
      <w:r w:rsidRPr="0044605D">
        <w:rPr>
          <w:sz w:val="20"/>
          <w:szCs w:val="20"/>
        </w:rPr>
        <w:t xml:space="preserve">5. Жуков Е.Ф. Банки и небанковские кредитные </w:t>
      </w:r>
      <w:proofErr w:type="gramStart"/>
      <w:r w:rsidRPr="0044605D">
        <w:rPr>
          <w:sz w:val="20"/>
          <w:szCs w:val="20"/>
        </w:rPr>
        <w:t>организации</w:t>
      </w:r>
      <w:proofErr w:type="gramEnd"/>
      <w:r w:rsidRPr="0044605D">
        <w:rPr>
          <w:sz w:val="20"/>
          <w:szCs w:val="20"/>
        </w:rPr>
        <w:t xml:space="preserve"> и их операции. – М: Вузовский учебник,</w:t>
      </w:r>
      <w:r w:rsidR="0044605D">
        <w:rPr>
          <w:sz w:val="20"/>
          <w:szCs w:val="20"/>
        </w:rPr>
        <w:t xml:space="preserve"> –</w:t>
      </w:r>
      <w:r w:rsidRPr="0044605D">
        <w:rPr>
          <w:sz w:val="20"/>
          <w:szCs w:val="20"/>
        </w:rPr>
        <w:t xml:space="preserve"> 2012. – 528 </w:t>
      </w:r>
      <w:proofErr w:type="gramStart"/>
      <w:r w:rsidRPr="0044605D">
        <w:rPr>
          <w:sz w:val="20"/>
          <w:szCs w:val="20"/>
        </w:rPr>
        <w:t>с</w:t>
      </w:r>
      <w:proofErr w:type="gramEnd"/>
      <w:r w:rsidRPr="0044605D">
        <w:rPr>
          <w:sz w:val="20"/>
          <w:szCs w:val="20"/>
        </w:rPr>
        <w:t>.</w:t>
      </w:r>
    </w:p>
    <w:p w:rsidR="00066635" w:rsidRPr="0044605D" w:rsidRDefault="00066635" w:rsidP="00DD3AAB">
      <w:pPr>
        <w:spacing w:line="22" w:lineRule="atLeast"/>
        <w:ind w:firstLine="851"/>
        <w:rPr>
          <w:sz w:val="20"/>
          <w:szCs w:val="20"/>
        </w:rPr>
      </w:pPr>
      <w:r w:rsidRPr="0044605D">
        <w:rPr>
          <w:sz w:val="20"/>
          <w:szCs w:val="20"/>
        </w:rPr>
        <w:t xml:space="preserve">6. Костерина Т.М. Банковское дело. – М: Изд. центр ЕАОИ, </w:t>
      </w:r>
      <w:r w:rsidR="0044605D">
        <w:rPr>
          <w:sz w:val="20"/>
          <w:szCs w:val="20"/>
        </w:rPr>
        <w:t xml:space="preserve">– </w:t>
      </w:r>
      <w:r w:rsidRPr="0044605D">
        <w:rPr>
          <w:sz w:val="20"/>
          <w:szCs w:val="20"/>
        </w:rPr>
        <w:t xml:space="preserve">2013. – 360 </w:t>
      </w:r>
      <w:proofErr w:type="gramStart"/>
      <w:r w:rsidRPr="0044605D">
        <w:rPr>
          <w:sz w:val="20"/>
          <w:szCs w:val="20"/>
        </w:rPr>
        <w:t>с</w:t>
      </w:r>
      <w:proofErr w:type="gramEnd"/>
      <w:r w:rsidRPr="0044605D">
        <w:rPr>
          <w:sz w:val="20"/>
          <w:szCs w:val="20"/>
        </w:rPr>
        <w:t>.</w:t>
      </w:r>
    </w:p>
    <w:p w:rsidR="004200F0" w:rsidRPr="002A50F2" w:rsidRDefault="004200F0" w:rsidP="00DD3AAB">
      <w:pPr>
        <w:spacing w:line="22" w:lineRule="atLeast"/>
        <w:ind w:firstLine="708"/>
        <w:rPr>
          <w:sz w:val="20"/>
          <w:szCs w:val="20"/>
          <w:lang w:val="en-US"/>
        </w:rPr>
      </w:pPr>
      <w:r w:rsidRPr="00DD3AAB">
        <w:rPr>
          <w:sz w:val="20"/>
          <w:szCs w:val="20"/>
        </w:rPr>
        <w:t xml:space="preserve">   </w:t>
      </w:r>
      <w:proofErr w:type="gramStart"/>
      <w:r w:rsidR="00066635" w:rsidRPr="004200F0">
        <w:rPr>
          <w:sz w:val="20"/>
          <w:szCs w:val="20"/>
          <w:lang w:val="en-US"/>
        </w:rPr>
        <w:t xml:space="preserve">7. </w:t>
      </w:r>
      <w:r w:rsidRPr="002A50F2">
        <w:rPr>
          <w:sz w:val="20"/>
          <w:szCs w:val="20"/>
          <w:lang w:val="en-US"/>
        </w:rPr>
        <w:t>.</w:t>
      </w:r>
      <w:proofErr w:type="gramEnd"/>
      <w:r w:rsidRPr="002A50F2">
        <w:rPr>
          <w:sz w:val="20"/>
          <w:szCs w:val="20"/>
          <w:lang w:val="en-US"/>
        </w:rPr>
        <w:t xml:space="preserve"> Hsieh, J.K., Hsieh, Y.C., Yang, Y.R., Chiu, H.C.</w:t>
      </w:r>
      <w:r w:rsidRPr="002A50F2">
        <w:rPr>
          <w:sz w:val="20"/>
          <w:szCs w:val="20"/>
          <w:lang w:val="en-US"/>
        </w:rPr>
        <w:tab/>
        <w:t>Customer response to web site atmospherics: Task-relevant cues, situational involvement and PAD</w:t>
      </w:r>
      <w:r w:rsidRPr="002A50F2">
        <w:rPr>
          <w:sz w:val="20"/>
          <w:szCs w:val="20"/>
          <w:lang w:val="en-US"/>
        </w:rPr>
        <w:tab/>
        <w:t xml:space="preserve"> // Journal of Interactive Marketing, 28(3),</w:t>
      </w:r>
      <w:r w:rsidRPr="004200F0">
        <w:rPr>
          <w:sz w:val="20"/>
          <w:szCs w:val="20"/>
          <w:lang w:val="en-US"/>
        </w:rPr>
        <w:t xml:space="preserve"> –</w:t>
      </w:r>
      <w:r w:rsidRPr="002A50F2">
        <w:rPr>
          <w:sz w:val="20"/>
          <w:szCs w:val="20"/>
          <w:lang w:val="en-US"/>
        </w:rPr>
        <w:t xml:space="preserve"> 2014</w:t>
      </w:r>
      <w:r>
        <w:rPr>
          <w:sz w:val="20"/>
          <w:szCs w:val="20"/>
          <w:lang w:val="en-US"/>
        </w:rPr>
        <w:t>.</w:t>
      </w:r>
      <w:r w:rsidRPr="004200F0">
        <w:rPr>
          <w:sz w:val="20"/>
          <w:szCs w:val="20"/>
          <w:lang w:val="en-US"/>
        </w:rPr>
        <w:t xml:space="preserve"> </w:t>
      </w:r>
      <w:proofErr w:type="gramStart"/>
      <w:r w:rsidRPr="004200F0">
        <w:rPr>
          <w:sz w:val="20"/>
          <w:szCs w:val="20"/>
          <w:lang w:val="en-US"/>
        </w:rPr>
        <w:t xml:space="preserve">– </w:t>
      </w:r>
      <w:r w:rsidRPr="002A50F2">
        <w:rPr>
          <w:sz w:val="20"/>
          <w:szCs w:val="20"/>
          <w:lang w:val="en-US"/>
        </w:rPr>
        <w:t xml:space="preserve"> pp.225</w:t>
      </w:r>
      <w:proofErr w:type="gramEnd"/>
      <w:r w:rsidRPr="002A50F2">
        <w:rPr>
          <w:sz w:val="20"/>
          <w:szCs w:val="20"/>
          <w:lang w:val="en-US"/>
        </w:rPr>
        <w:t>-236.</w:t>
      </w:r>
    </w:p>
    <w:p w:rsidR="00066635" w:rsidRPr="004200F0" w:rsidRDefault="00066635" w:rsidP="004200F0">
      <w:pPr>
        <w:spacing w:line="100" w:lineRule="atLeast"/>
        <w:ind w:firstLine="851"/>
        <w:rPr>
          <w:lang w:val="en-US"/>
        </w:rPr>
      </w:pPr>
    </w:p>
    <w:p w:rsidR="00066635" w:rsidRPr="004200F0" w:rsidRDefault="00066635" w:rsidP="0044605D">
      <w:pPr>
        <w:spacing w:line="100" w:lineRule="atLeast"/>
        <w:ind w:firstLine="851"/>
        <w:jc w:val="center"/>
        <w:rPr>
          <w:lang w:val="en-US"/>
        </w:rPr>
      </w:pPr>
    </w:p>
    <w:p w:rsidR="00066635" w:rsidRPr="004200F0" w:rsidRDefault="00066635" w:rsidP="0044605D">
      <w:pPr>
        <w:spacing w:line="100" w:lineRule="atLeast"/>
        <w:ind w:firstLine="851"/>
        <w:jc w:val="center"/>
        <w:rPr>
          <w:lang w:val="en-US"/>
        </w:rPr>
      </w:pPr>
    </w:p>
    <w:p w:rsidR="00066635" w:rsidRPr="004200F0" w:rsidRDefault="00066635" w:rsidP="0044605D">
      <w:pPr>
        <w:spacing w:line="100" w:lineRule="atLeast"/>
        <w:ind w:firstLine="851"/>
        <w:jc w:val="center"/>
        <w:rPr>
          <w:lang w:val="en-US"/>
        </w:rPr>
      </w:pPr>
    </w:p>
    <w:p w:rsidR="00066635" w:rsidRPr="004200F0" w:rsidRDefault="00066635" w:rsidP="0044605D">
      <w:pPr>
        <w:spacing w:line="100" w:lineRule="atLeast"/>
        <w:ind w:firstLine="851"/>
        <w:rPr>
          <w:lang w:val="en-US"/>
        </w:rPr>
      </w:pPr>
    </w:p>
    <w:sectPr w:rsidR="00066635" w:rsidRPr="004200F0" w:rsidSect="009F13D7">
      <w:pgSz w:w="11906" w:h="16838"/>
      <w:pgMar w:top="1247" w:right="1134" w:bottom="124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1CD8"/>
    <w:rsid w:val="00026A63"/>
    <w:rsid w:val="0006531D"/>
    <w:rsid w:val="00066635"/>
    <w:rsid w:val="000675CF"/>
    <w:rsid w:val="00156FEC"/>
    <w:rsid w:val="00193445"/>
    <w:rsid w:val="0020429C"/>
    <w:rsid w:val="00241CD8"/>
    <w:rsid w:val="003433DF"/>
    <w:rsid w:val="00386D2A"/>
    <w:rsid w:val="003A0882"/>
    <w:rsid w:val="004200F0"/>
    <w:rsid w:val="00426896"/>
    <w:rsid w:val="0044605D"/>
    <w:rsid w:val="004521B1"/>
    <w:rsid w:val="004572FF"/>
    <w:rsid w:val="004F2233"/>
    <w:rsid w:val="005D1855"/>
    <w:rsid w:val="007642D4"/>
    <w:rsid w:val="00841D79"/>
    <w:rsid w:val="009F13D7"/>
    <w:rsid w:val="00A05842"/>
    <w:rsid w:val="00A176D1"/>
    <w:rsid w:val="00A22FA6"/>
    <w:rsid w:val="00A42A53"/>
    <w:rsid w:val="00A732CD"/>
    <w:rsid w:val="00AD7D91"/>
    <w:rsid w:val="00B52C13"/>
    <w:rsid w:val="00C457CA"/>
    <w:rsid w:val="00D012A6"/>
    <w:rsid w:val="00D75348"/>
    <w:rsid w:val="00DA69F9"/>
    <w:rsid w:val="00DA7A6B"/>
    <w:rsid w:val="00DD3AAB"/>
    <w:rsid w:val="00F9791A"/>
    <w:rsid w:val="00FC4C4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CD8"/>
    <w:pPr>
      <w:spacing w:line="360" w:lineRule="auto"/>
      <w:ind w:firstLine="709"/>
      <w:jc w:val="both"/>
    </w:pPr>
    <w:rPr>
      <w:rFonts w:ascii="Times New Roman" w:hAnsi="Times New Roman"/>
      <w:sz w:val="28"/>
      <w:szCs w:val="28"/>
      <w:lang w:eastAsia="en-US"/>
    </w:rPr>
  </w:style>
  <w:style w:type="paragraph" w:styleId="1">
    <w:name w:val="heading 1"/>
    <w:basedOn w:val="a"/>
    <w:next w:val="a"/>
    <w:link w:val="10"/>
    <w:uiPriority w:val="99"/>
    <w:qFormat/>
    <w:rsid w:val="00241CD8"/>
    <w:pPr>
      <w:keepNext/>
      <w:spacing w:before="240" w:after="60"/>
      <w:outlineLvl w:val="0"/>
    </w:pPr>
    <w:rPr>
      <w:rFonts w:ascii="Cambria" w:eastAsia="Times New Roman" w:hAnsi="Cambria"/>
      <w:b/>
      <w:bCs/>
      <w:kern w:val="32"/>
      <w:sz w:val="32"/>
      <w:szCs w:val="32"/>
    </w:rPr>
  </w:style>
  <w:style w:type="paragraph" w:styleId="3">
    <w:name w:val="heading 3"/>
    <w:basedOn w:val="a"/>
    <w:next w:val="a"/>
    <w:link w:val="30"/>
    <w:uiPriority w:val="99"/>
    <w:qFormat/>
    <w:rsid w:val="00F9791A"/>
    <w:pPr>
      <w:keepNext/>
      <w:keepLines/>
      <w:spacing w:before="20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41CD8"/>
    <w:rPr>
      <w:rFonts w:ascii="Cambria" w:hAnsi="Cambria" w:cs="Times New Roman"/>
      <w:b/>
      <w:bCs/>
      <w:kern w:val="32"/>
      <w:sz w:val="32"/>
      <w:szCs w:val="32"/>
    </w:rPr>
  </w:style>
  <w:style w:type="character" w:customStyle="1" w:styleId="30">
    <w:name w:val="Заголовок 3 Знак"/>
    <w:basedOn w:val="a0"/>
    <w:link w:val="3"/>
    <w:uiPriority w:val="99"/>
    <w:semiHidden/>
    <w:locked/>
    <w:rsid w:val="00F9791A"/>
    <w:rPr>
      <w:rFonts w:ascii="Cambria" w:hAnsi="Cambria" w:cs="Times New Roman"/>
      <w:b/>
      <w:bCs/>
      <w:color w:val="4F81BD"/>
      <w:sz w:val="28"/>
      <w:szCs w:val="28"/>
    </w:rPr>
  </w:style>
  <w:style w:type="character" w:styleId="a3">
    <w:name w:val="Hyperlink"/>
    <w:basedOn w:val="a0"/>
    <w:uiPriority w:val="99"/>
    <w:semiHidden/>
    <w:rsid w:val="00241CD8"/>
    <w:rPr>
      <w:rFonts w:cs="Times New Roman"/>
      <w:color w:val="0000FF"/>
      <w:u w:val="single"/>
    </w:rPr>
  </w:style>
  <w:style w:type="paragraph" w:styleId="11">
    <w:name w:val="toc 1"/>
    <w:basedOn w:val="a"/>
    <w:next w:val="a"/>
    <w:autoRedefine/>
    <w:uiPriority w:val="99"/>
    <w:semiHidden/>
    <w:rsid w:val="00241CD8"/>
    <w:pPr>
      <w:tabs>
        <w:tab w:val="right" w:leader="dot" w:pos="9345"/>
      </w:tabs>
      <w:ind w:firstLine="0"/>
    </w:pPr>
  </w:style>
  <w:style w:type="paragraph" w:styleId="a4">
    <w:name w:val="Balloon Text"/>
    <w:basedOn w:val="a"/>
    <w:link w:val="a5"/>
    <w:uiPriority w:val="99"/>
    <w:semiHidden/>
    <w:rsid w:val="003433DF"/>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3433D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7495912">
      <w:marLeft w:val="0"/>
      <w:marRight w:val="0"/>
      <w:marTop w:val="0"/>
      <w:marBottom w:val="0"/>
      <w:divBdr>
        <w:top w:val="none" w:sz="0" w:space="0" w:color="auto"/>
        <w:left w:val="none" w:sz="0" w:space="0" w:color="auto"/>
        <w:bottom w:val="none" w:sz="0" w:space="0" w:color="auto"/>
        <w:right w:val="none" w:sz="0" w:space="0" w:color="auto"/>
      </w:divBdr>
    </w:div>
    <w:div w:id="1227495913">
      <w:marLeft w:val="0"/>
      <w:marRight w:val="0"/>
      <w:marTop w:val="0"/>
      <w:marBottom w:val="0"/>
      <w:divBdr>
        <w:top w:val="none" w:sz="0" w:space="0" w:color="auto"/>
        <w:left w:val="none" w:sz="0" w:space="0" w:color="auto"/>
        <w:bottom w:val="none" w:sz="0" w:space="0" w:color="auto"/>
        <w:right w:val="none" w:sz="0" w:space="0" w:color="auto"/>
      </w:divBdr>
    </w:div>
    <w:div w:id="1227495914">
      <w:marLeft w:val="0"/>
      <w:marRight w:val="0"/>
      <w:marTop w:val="0"/>
      <w:marBottom w:val="0"/>
      <w:divBdr>
        <w:top w:val="none" w:sz="0" w:space="0" w:color="auto"/>
        <w:left w:val="none" w:sz="0" w:space="0" w:color="auto"/>
        <w:bottom w:val="none" w:sz="0" w:space="0" w:color="auto"/>
        <w:right w:val="none" w:sz="0" w:space="0" w:color="auto"/>
      </w:divBdr>
    </w:div>
    <w:div w:id="12274959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1231</Words>
  <Characters>7023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Качество предоставления информации о вкладах физических лиц на сайтах банковских услуг в России</vt:lpstr>
    </vt:vector>
  </TitlesOfParts>
  <Company/>
  <LinksUpToDate>false</LinksUpToDate>
  <CharactersWithSpaces>8238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Качество предоставления информации о вкладах физических лиц на сайтах банковских услуг в России</dc:title>
  <dc:subject/>
  <dc:creator>Пользователь</dc:creator>
  <cp:keywords/>
  <dc:description/>
  <cp:lastModifiedBy>Пользователь</cp:lastModifiedBy>
  <cp:revision>6</cp:revision>
  <dcterms:created xsi:type="dcterms:W3CDTF">2017-11-05T14:14:00Z</dcterms:created>
  <dcterms:modified xsi:type="dcterms:W3CDTF">2017-11-09T16:56:00Z</dcterms:modified>
</cp:coreProperties>
</file>