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74" w:rsidRDefault="00F710A3">
      <w:pPr>
        <w:spacing w:after="480" w:line="264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УДК</w:t>
      </w:r>
    </w:p>
    <w:p w:rsidR="00E90A9E" w:rsidRDefault="00F710A3">
      <w:pPr>
        <w:spacing w:after="480"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Анализ </w:t>
      </w:r>
      <w:r w:rsidR="00E90A9E">
        <w:rPr>
          <w:sz w:val="20"/>
          <w:szCs w:val="20"/>
        </w:rPr>
        <w:t xml:space="preserve">корреляции </w:t>
      </w:r>
      <w:r>
        <w:rPr>
          <w:sz w:val="20"/>
          <w:szCs w:val="20"/>
        </w:rPr>
        <w:t xml:space="preserve">зависимости </w:t>
      </w:r>
      <w:r w:rsidR="00E90A9E">
        <w:rPr>
          <w:sz w:val="20"/>
          <w:szCs w:val="20"/>
        </w:rPr>
        <w:t>между доходами физических лиц и расходами населения на покупку товаров, оплату услуг и накопление</w:t>
      </w:r>
    </w:p>
    <w:p w:rsidR="00E90A9E" w:rsidRDefault="00E90A9E" w:rsidP="00E90A9E">
      <w:pPr>
        <w:spacing w:line="264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Чижик Вера Павловна</w:t>
      </w:r>
      <w:r w:rsidR="00F710A3">
        <w:rPr>
          <w:sz w:val="20"/>
          <w:szCs w:val="20"/>
        </w:rPr>
        <w:t xml:space="preserve"> </w:t>
      </w:r>
    </w:p>
    <w:p w:rsidR="00E90A9E" w:rsidRDefault="00E90A9E" w:rsidP="00E90A9E">
      <w:pPr>
        <w:spacing w:line="264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Омский Государственный Технический Университет (Институт Дизайна и Технологий), г</w:t>
      </w:r>
      <w:proofErr w:type="gramStart"/>
      <w:r>
        <w:rPr>
          <w:i/>
          <w:sz w:val="20"/>
          <w:szCs w:val="20"/>
        </w:rPr>
        <w:t>.О</w:t>
      </w:r>
      <w:proofErr w:type="gramEnd"/>
      <w:r>
        <w:rPr>
          <w:i/>
          <w:sz w:val="20"/>
          <w:szCs w:val="20"/>
        </w:rPr>
        <w:t>мск, Россия</w:t>
      </w:r>
    </w:p>
    <w:p w:rsidR="00FD7E74" w:rsidRDefault="00FD7E74">
      <w:pPr>
        <w:spacing w:line="264" w:lineRule="auto"/>
        <w:jc w:val="center"/>
        <w:rPr>
          <w:i/>
          <w:sz w:val="20"/>
          <w:szCs w:val="20"/>
        </w:rPr>
      </w:pPr>
    </w:p>
    <w:p w:rsidR="00FD7E74" w:rsidRDefault="00FD7E74">
      <w:pPr>
        <w:spacing w:line="264" w:lineRule="auto"/>
        <w:jc w:val="both"/>
        <w:rPr>
          <w:b/>
          <w:i/>
          <w:sz w:val="20"/>
          <w:szCs w:val="20"/>
        </w:rPr>
      </w:pPr>
    </w:p>
    <w:p w:rsidR="00FD7E74" w:rsidRDefault="00F710A3">
      <w:pPr>
        <w:spacing w:line="264" w:lineRule="auto"/>
        <w:jc w:val="both"/>
        <w:rPr>
          <w:b/>
          <w:sz w:val="20"/>
          <w:szCs w:val="20"/>
        </w:rPr>
      </w:pPr>
      <w:bookmarkStart w:id="1" w:name="_gjdgxs" w:colFirst="0" w:colLast="0"/>
      <w:bookmarkEnd w:id="1"/>
      <w:r>
        <w:rPr>
          <w:b/>
          <w:i/>
          <w:sz w:val="20"/>
          <w:szCs w:val="20"/>
        </w:rPr>
        <w:t>Аннотация</w:t>
      </w:r>
      <w:r>
        <w:rPr>
          <w:b/>
          <w:sz w:val="20"/>
          <w:szCs w:val="20"/>
        </w:rPr>
        <w:t xml:space="preserve"> – </w:t>
      </w:r>
      <w:r w:rsidR="00E90A9E">
        <w:rPr>
          <w:b/>
          <w:sz w:val="20"/>
          <w:szCs w:val="20"/>
        </w:rPr>
        <w:t>Вопросы потребительского поведения, принципы распределения средств семейного бюдж</w:t>
      </w:r>
      <w:r w:rsidR="00E90A9E">
        <w:rPr>
          <w:b/>
          <w:sz w:val="20"/>
          <w:szCs w:val="20"/>
        </w:rPr>
        <w:t>е</w:t>
      </w:r>
      <w:r w:rsidR="00E90A9E">
        <w:rPr>
          <w:b/>
          <w:sz w:val="20"/>
          <w:szCs w:val="20"/>
        </w:rPr>
        <w:t xml:space="preserve">та давно являются объектом исследования многих ученых. </w:t>
      </w:r>
      <w:r>
        <w:rPr>
          <w:b/>
          <w:sz w:val="20"/>
          <w:szCs w:val="20"/>
        </w:rPr>
        <w:t xml:space="preserve">В данной статье проведён анализ </w:t>
      </w:r>
      <w:r w:rsidR="00E90A9E">
        <w:rPr>
          <w:b/>
          <w:sz w:val="20"/>
          <w:szCs w:val="20"/>
        </w:rPr>
        <w:t>динамики доходов населения и расходов физических лиц на приобретение товаров</w:t>
      </w:r>
      <w:r w:rsidR="002D2760">
        <w:rPr>
          <w:b/>
          <w:sz w:val="20"/>
          <w:szCs w:val="20"/>
        </w:rPr>
        <w:t xml:space="preserve"> (</w:t>
      </w:r>
      <w:r w:rsidR="00E90A9E">
        <w:rPr>
          <w:b/>
          <w:sz w:val="20"/>
          <w:szCs w:val="20"/>
        </w:rPr>
        <w:t>оплату услуг</w:t>
      </w:r>
      <w:r w:rsidR="002D2760">
        <w:rPr>
          <w:b/>
          <w:sz w:val="20"/>
          <w:szCs w:val="20"/>
        </w:rPr>
        <w:t>)</w:t>
      </w:r>
      <w:r w:rsidR="00E90A9E">
        <w:rPr>
          <w:b/>
          <w:sz w:val="20"/>
          <w:szCs w:val="20"/>
        </w:rPr>
        <w:t xml:space="preserve"> и накопление. В статье представлены результаты анализа корреляционной зависимости указанных показателей, сделаны соответствующие выводы.</w:t>
      </w:r>
    </w:p>
    <w:p w:rsidR="00E90A9E" w:rsidRDefault="00E90A9E">
      <w:pPr>
        <w:spacing w:line="264" w:lineRule="auto"/>
        <w:jc w:val="both"/>
        <w:rPr>
          <w:b/>
          <w:i/>
          <w:sz w:val="20"/>
          <w:szCs w:val="20"/>
        </w:rPr>
      </w:pPr>
    </w:p>
    <w:p w:rsidR="00FD7E74" w:rsidRDefault="00F710A3">
      <w:pPr>
        <w:spacing w:line="264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Ключевые слова –</w:t>
      </w:r>
      <w:r>
        <w:rPr>
          <w:b/>
          <w:sz w:val="20"/>
          <w:szCs w:val="20"/>
        </w:rPr>
        <w:t xml:space="preserve"> </w:t>
      </w:r>
      <w:r w:rsidR="00E90A9E">
        <w:rPr>
          <w:b/>
          <w:sz w:val="20"/>
          <w:szCs w:val="20"/>
        </w:rPr>
        <w:t xml:space="preserve">доходы и расходы физических лиц, объемы </w:t>
      </w:r>
      <w:r w:rsidR="00D318A9">
        <w:rPr>
          <w:b/>
          <w:sz w:val="20"/>
          <w:szCs w:val="20"/>
        </w:rPr>
        <w:t xml:space="preserve">потребления </w:t>
      </w:r>
      <w:r w:rsidR="00E90A9E">
        <w:rPr>
          <w:b/>
          <w:sz w:val="20"/>
          <w:szCs w:val="20"/>
        </w:rPr>
        <w:t>услуг</w:t>
      </w:r>
      <w:r w:rsidR="00D318A9">
        <w:rPr>
          <w:b/>
          <w:sz w:val="20"/>
          <w:szCs w:val="20"/>
        </w:rPr>
        <w:t>, потребительское пов</w:t>
      </w:r>
      <w:r w:rsidR="00D318A9">
        <w:rPr>
          <w:b/>
          <w:sz w:val="20"/>
          <w:szCs w:val="20"/>
        </w:rPr>
        <w:t>е</w:t>
      </w:r>
      <w:r w:rsidR="00D318A9">
        <w:rPr>
          <w:b/>
          <w:sz w:val="20"/>
          <w:szCs w:val="20"/>
        </w:rPr>
        <w:t>дение</w:t>
      </w:r>
    </w:p>
    <w:p w:rsidR="00FD7E74" w:rsidRDefault="00F710A3">
      <w:pPr>
        <w:numPr>
          <w:ilvl w:val="0"/>
          <w:numId w:val="3"/>
        </w:numPr>
        <w:contextualSpacing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Введение</w:t>
      </w:r>
    </w:p>
    <w:p w:rsidR="00D318A9" w:rsidRDefault="002D2760" w:rsidP="00D31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545919">
        <w:rPr>
          <w:rFonts w:ascii="Times New Roman" w:hAnsi="Times New Roman" w:cs="Times New Roman"/>
        </w:rPr>
        <w:t xml:space="preserve">нвестиции физических лиц всегда </w:t>
      </w:r>
      <w:r>
        <w:rPr>
          <w:rFonts w:ascii="Times New Roman" w:hAnsi="Times New Roman" w:cs="Times New Roman"/>
        </w:rPr>
        <w:t>рассматривались как самый желаемый источник финансирования</w:t>
      </w:r>
      <w:r w:rsidR="00D318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Как следствие исследователей всегда волновал вопрос о том, что стимулирует людей сберегать ресурсы, инв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стировать их в те или иные активы, каким образом субъект осуществляет выбор между потреблением и нако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лением. </w:t>
      </w:r>
      <w:r w:rsidR="00D318A9">
        <w:rPr>
          <w:rFonts w:ascii="Times New Roman" w:hAnsi="Times New Roman" w:cs="Times New Roman"/>
        </w:rPr>
        <w:t>Решение субъекта об инвестировании сбережений определяется различными социальными, экономич</w:t>
      </w:r>
      <w:r w:rsidR="00D318A9">
        <w:rPr>
          <w:rFonts w:ascii="Times New Roman" w:hAnsi="Times New Roman" w:cs="Times New Roman"/>
        </w:rPr>
        <w:t>е</w:t>
      </w:r>
      <w:r w:rsidR="00D318A9">
        <w:rPr>
          <w:rFonts w:ascii="Times New Roman" w:hAnsi="Times New Roman" w:cs="Times New Roman"/>
        </w:rPr>
        <w:t>скими, психологическими факторами всей уровней экономики. При этом в качестве наиболее значимого вс</w:t>
      </w:r>
      <w:r w:rsidR="00D318A9">
        <w:rPr>
          <w:rFonts w:ascii="Times New Roman" w:hAnsi="Times New Roman" w:cs="Times New Roman"/>
        </w:rPr>
        <w:t>е</w:t>
      </w:r>
      <w:r w:rsidR="00D318A9">
        <w:rPr>
          <w:rFonts w:ascii="Times New Roman" w:hAnsi="Times New Roman" w:cs="Times New Roman"/>
        </w:rPr>
        <w:t>гда считался уровень доходов и уровень жизни населения. Целью данного исследования  является оценка коррел</w:t>
      </w:r>
      <w:r w:rsidR="00D318A9">
        <w:rPr>
          <w:rFonts w:ascii="Times New Roman" w:hAnsi="Times New Roman" w:cs="Times New Roman"/>
        </w:rPr>
        <w:t>я</w:t>
      </w:r>
      <w:r w:rsidR="00D318A9">
        <w:rPr>
          <w:rFonts w:ascii="Times New Roman" w:hAnsi="Times New Roman" w:cs="Times New Roman"/>
        </w:rPr>
        <w:t xml:space="preserve">ционной зависимости между расходами населения на приобретение товаров и оплату услуг  и уровнем доходов физических лиц. </w:t>
      </w:r>
    </w:p>
    <w:p w:rsidR="00D318A9" w:rsidRDefault="00D318A9" w:rsidP="00D318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7E74" w:rsidRDefault="00F710A3">
      <w:pPr>
        <w:numPr>
          <w:ilvl w:val="0"/>
          <w:numId w:val="3"/>
        </w:numPr>
        <w:contextualSpacing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Задачи </w:t>
      </w:r>
    </w:p>
    <w:p w:rsidR="00FD7E74" w:rsidRDefault="00D318A9">
      <w:pPr>
        <w:numPr>
          <w:ilvl w:val="0"/>
          <w:numId w:val="5"/>
        </w:numPr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Собрать и проанализировать динамику доходов физических лиц в России</w:t>
      </w:r>
      <w:r w:rsidR="00F710A3">
        <w:rPr>
          <w:sz w:val="20"/>
          <w:szCs w:val="20"/>
        </w:rPr>
        <w:t>;</w:t>
      </w:r>
    </w:p>
    <w:p w:rsidR="00FD7E74" w:rsidRDefault="00D318A9">
      <w:pPr>
        <w:numPr>
          <w:ilvl w:val="0"/>
          <w:numId w:val="5"/>
        </w:numPr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Собрать и проанализировать динамику расходов населения на покупку товаров и услуг в России</w:t>
      </w:r>
      <w:r w:rsidR="00F710A3">
        <w:rPr>
          <w:sz w:val="20"/>
          <w:szCs w:val="20"/>
        </w:rPr>
        <w:t>;</w:t>
      </w:r>
    </w:p>
    <w:p w:rsidR="00FD7E74" w:rsidRDefault="00D318A9">
      <w:pPr>
        <w:numPr>
          <w:ilvl w:val="0"/>
          <w:numId w:val="5"/>
        </w:numPr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Собрать и проанализировать динамику объемов сбережений физических лиц в России</w:t>
      </w:r>
      <w:r w:rsidR="00F710A3">
        <w:rPr>
          <w:sz w:val="20"/>
          <w:szCs w:val="20"/>
        </w:rPr>
        <w:t>;</w:t>
      </w:r>
    </w:p>
    <w:p w:rsidR="00FD7E74" w:rsidRDefault="00D318A9">
      <w:pPr>
        <w:numPr>
          <w:ilvl w:val="0"/>
          <w:numId w:val="5"/>
        </w:numPr>
        <w:ind w:hanging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Провести анализ корреляционной зависимости указанных показателей, сделать вывод.</w:t>
      </w:r>
    </w:p>
    <w:p w:rsidR="00FD7E74" w:rsidRDefault="00FD7E74">
      <w:pPr>
        <w:ind w:firstLine="284"/>
        <w:jc w:val="center"/>
        <w:rPr>
          <w:sz w:val="20"/>
          <w:szCs w:val="20"/>
        </w:rPr>
      </w:pPr>
    </w:p>
    <w:p w:rsidR="00FD7E74" w:rsidRDefault="00F710A3">
      <w:pPr>
        <w:numPr>
          <w:ilvl w:val="0"/>
          <w:numId w:val="3"/>
        </w:numPr>
        <w:spacing w:line="264" w:lineRule="auto"/>
        <w:contextualSpacing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 xml:space="preserve">Теория </w:t>
      </w:r>
    </w:p>
    <w:p w:rsidR="00547222" w:rsidRPr="005A2E17" w:rsidRDefault="00547222" w:rsidP="00DB2A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Вопросы выбора людей при распределении своих личных доходов являются объектом исследования мн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гих теорий, в том числе теории </w:t>
      </w:r>
      <w:r w:rsidRPr="005B5C9F">
        <w:rPr>
          <w:rFonts w:ascii="Times New Roman" w:hAnsi="Times New Roman" w:cs="Times New Roman"/>
        </w:rPr>
        <w:t xml:space="preserve">сбережений, теории личного потребления и сберегательной мотивации, теории </w:t>
      </w:r>
      <w:r w:rsidRPr="002B69B0">
        <w:rPr>
          <w:rFonts w:ascii="Times New Roman" w:hAnsi="Times New Roman" w:cs="Times New Roman"/>
        </w:rPr>
        <w:t>экономики домохозяйства, воспроизводства  и жизненного цикла</w:t>
      </w:r>
      <w:r>
        <w:rPr>
          <w:rFonts w:ascii="Times New Roman" w:hAnsi="Times New Roman" w:cs="Times New Roman"/>
        </w:rPr>
        <w:t>, теории социально- экономического повед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  и др. </w:t>
      </w:r>
      <w:r w:rsidR="00DB2A92" w:rsidRPr="00D318A9">
        <w:rPr>
          <w:rFonts w:ascii="Times New Roman" w:hAnsi="Times New Roman" w:cs="Times New Roman"/>
        </w:rPr>
        <w:t>[</w:t>
      </w:r>
      <w:r w:rsidR="00DB2A92">
        <w:rPr>
          <w:rFonts w:ascii="Times New Roman" w:hAnsi="Times New Roman" w:cs="Times New Roman"/>
        </w:rPr>
        <w:t>1,2</w:t>
      </w:r>
      <w:r w:rsidR="00DB2A92" w:rsidRPr="00D318A9">
        <w:rPr>
          <w:rFonts w:ascii="Times New Roman" w:hAnsi="Times New Roman" w:cs="Times New Roman"/>
        </w:rPr>
        <w:t>]</w:t>
      </w:r>
      <w:r w:rsidR="00DB2A9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рамках каждого из выделенных направлений выявлено бол</w:t>
      </w:r>
      <w:r w:rsidR="00DB2A92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шое количество факторов, 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рые</w:t>
      </w:r>
      <w:r w:rsidR="002D27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так или иначе</w:t>
      </w:r>
      <w:r w:rsidR="002D27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определяют поведение </w:t>
      </w:r>
      <w:r w:rsidR="00DB2A92">
        <w:rPr>
          <w:rFonts w:ascii="Times New Roman" w:hAnsi="Times New Roman" w:cs="Times New Roman"/>
        </w:rPr>
        <w:t xml:space="preserve">физических лиц при распределении своего бюджета. При этом, как правило, одним из наиболее значимых факторов является размер дохода и уровень жизни. </w:t>
      </w:r>
    </w:p>
    <w:p w:rsidR="00D318A9" w:rsidRPr="00D318A9" w:rsidRDefault="00D318A9" w:rsidP="00D318A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18A9">
        <w:rPr>
          <w:rFonts w:ascii="Times New Roman" w:hAnsi="Times New Roman" w:cs="Times New Roman"/>
        </w:rPr>
        <w:t xml:space="preserve">Для </w:t>
      </w:r>
      <w:r w:rsidR="00DB2A92">
        <w:rPr>
          <w:rFonts w:ascii="Times New Roman" w:hAnsi="Times New Roman" w:cs="Times New Roman"/>
        </w:rPr>
        <w:t>анализа наличия и тесноты связи между доходами физических лиц и расходами населения на прио</w:t>
      </w:r>
      <w:r w:rsidR="00DB2A92">
        <w:rPr>
          <w:rFonts w:ascii="Times New Roman" w:hAnsi="Times New Roman" w:cs="Times New Roman"/>
        </w:rPr>
        <w:t>б</w:t>
      </w:r>
      <w:r w:rsidR="00DB2A92">
        <w:rPr>
          <w:rFonts w:ascii="Times New Roman" w:hAnsi="Times New Roman" w:cs="Times New Roman"/>
        </w:rPr>
        <w:t xml:space="preserve">ретение товаров и оплату услуг </w:t>
      </w:r>
      <w:r w:rsidRPr="00D318A9">
        <w:rPr>
          <w:rFonts w:ascii="Times New Roman" w:hAnsi="Times New Roman" w:cs="Times New Roman"/>
        </w:rPr>
        <w:t>была использована статистика, размещенная на официальных сайтах федерал</w:t>
      </w:r>
      <w:r w:rsidRPr="00D318A9">
        <w:rPr>
          <w:rFonts w:ascii="Times New Roman" w:hAnsi="Times New Roman" w:cs="Times New Roman"/>
        </w:rPr>
        <w:t>ь</w:t>
      </w:r>
      <w:r w:rsidRPr="00D318A9">
        <w:rPr>
          <w:rFonts w:ascii="Times New Roman" w:hAnsi="Times New Roman" w:cs="Times New Roman"/>
        </w:rPr>
        <w:t>ных и региональных органов государственной статистики</w:t>
      </w:r>
      <w:r w:rsidR="005208EE">
        <w:rPr>
          <w:rFonts w:ascii="Times New Roman" w:hAnsi="Times New Roman" w:cs="Times New Roman"/>
        </w:rPr>
        <w:t xml:space="preserve"> </w:t>
      </w:r>
      <w:r w:rsidR="005208EE" w:rsidRPr="00D318A9">
        <w:rPr>
          <w:rFonts w:ascii="Times New Roman" w:hAnsi="Times New Roman" w:cs="Times New Roman"/>
        </w:rPr>
        <w:t>[3</w:t>
      </w:r>
      <w:r w:rsidR="00DB2A92">
        <w:rPr>
          <w:rFonts w:ascii="Times New Roman" w:hAnsi="Times New Roman" w:cs="Times New Roman"/>
        </w:rPr>
        <w:t>,4</w:t>
      </w:r>
      <w:r w:rsidR="005208EE" w:rsidRPr="00D318A9">
        <w:rPr>
          <w:rFonts w:ascii="Times New Roman" w:hAnsi="Times New Roman" w:cs="Times New Roman"/>
        </w:rPr>
        <w:t>]</w:t>
      </w:r>
      <w:r w:rsidRPr="00D318A9">
        <w:rPr>
          <w:rFonts w:ascii="Times New Roman" w:hAnsi="Times New Roman" w:cs="Times New Roman"/>
        </w:rPr>
        <w:t xml:space="preserve">. </w:t>
      </w:r>
    </w:p>
    <w:p w:rsidR="00E2708F" w:rsidRDefault="00D318A9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318A9">
        <w:rPr>
          <w:rFonts w:ascii="Times New Roman" w:hAnsi="Times New Roman" w:cs="Times New Roman"/>
        </w:rPr>
        <w:t xml:space="preserve">В соответствии с методологией органов государственной статистки </w:t>
      </w:r>
      <w:r w:rsidR="00E2708F">
        <w:rPr>
          <w:rFonts w:ascii="Times New Roman" w:hAnsi="Times New Roman" w:cs="Times New Roman"/>
        </w:rPr>
        <w:t xml:space="preserve">в состав денежных доходов </w:t>
      </w:r>
      <w:r w:rsidR="00E2708F" w:rsidRPr="00E2708F">
        <w:rPr>
          <w:rFonts w:ascii="Times New Roman" w:hAnsi="Times New Roman" w:cs="Times New Roman"/>
        </w:rPr>
        <w:t>насел</w:t>
      </w:r>
      <w:r w:rsidR="00E2708F" w:rsidRPr="00E2708F">
        <w:rPr>
          <w:rFonts w:ascii="Times New Roman" w:hAnsi="Times New Roman" w:cs="Times New Roman"/>
        </w:rPr>
        <w:t>е</w:t>
      </w:r>
      <w:r w:rsidR="00E2708F" w:rsidRPr="00E2708F">
        <w:rPr>
          <w:rFonts w:ascii="Times New Roman" w:hAnsi="Times New Roman" w:cs="Times New Roman"/>
        </w:rPr>
        <w:t xml:space="preserve">ния </w:t>
      </w:r>
      <w:r w:rsidR="00E2708F">
        <w:rPr>
          <w:rFonts w:ascii="Times New Roman" w:hAnsi="Times New Roman" w:cs="Times New Roman"/>
        </w:rPr>
        <w:t>включены доходы в виде оплаты труда, доходы от собственности, доходы от предпринимательской де</w:t>
      </w:r>
      <w:r w:rsidR="00E2708F">
        <w:rPr>
          <w:rFonts w:ascii="Times New Roman" w:hAnsi="Times New Roman" w:cs="Times New Roman"/>
        </w:rPr>
        <w:t>я</w:t>
      </w:r>
      <w:r w:rsidR="00E2708F">
        <w:rPr>
          <w:rFonts w:ascii="Times New Roman" w:hAnsi="Times New Roman" w:cs="Times New Roman"/>
        </w:rPr>
        <w:t>тельности, социальные выплаты и пр. Совокупные расходы населения по величине фактически совпадают с объемом доходов, но подразделяются на расходы на о</w:t>
      </w:r>
      <w:r w:rsidR="002D2760">
        <w:rPr>
          <w:rFonts w:ascii="Times New Roman" w:hAnsi="Times New Roman" w:cs="Times New Roman"/>
        </w:rPr>
        <w:t>пл</w:t>
      </w:r>
      <w:r w:rsidR="00E2708F">
        <w:rPr>
          <w:rFonts w:ascii="Times New Roman" w:hAnsi="Times New Roman" w:cs="Times New Roman"/>
        </w:rPr>
        <w:t>ату товаров и услуг, и на накопление. П</w:t>
      </w:r>
      <w:r w:rsidR="00547222">
        <w:rPr>
          <w:rFonts w:ascii="Times New Roman" w:hAnsi="Times New Roman" w:cs="Times New Roman"/>
        </w:rPr>
        <w:t>р</w:t>
      </w:r>
      <w:r w:rsidR="00E2708F">
        <w:rPr>
          <w:rFonts w:ascii="Times New Roman" w:hAnsi="Times New Roman" w:cs="Times New Roman"/>
        </w:rPr>
        <w:t>и этом откл</w:t>
      </w:r>
      <w:r w:rsidR="00E2708F">
        <w:rPr>
          <w:rFonts w:ascii="Times New Roman" w:hAnsi="Times New Roman" w:cs="Times New Roman"/>
        </w:rPr>
        <w:t>о</w:t>
      </w:r>
      <w:r w:rsidR="00E2708F">
        <w:rPr>
          <w:rFonts w:ascii="Times New Roman" w:hAnsi="Times New Roman" w:cs="Times New Roman"/>
        </w:rPr>
        <w:t>нение между доходами и расходами фактически формирует показатель «объем денежных средств на руках у населения».  Так д</w:t>
      </w:r>
      <w:r w:rsidR="00E2708F" w:rsidRPr="00E2708F">
        <w:rPr>
          <w:rFonts w:ascii="Times New Roman" w:hAnsi="Times New Roman" w:cs="Times New Roman"/>
        </w:rPr>
        <w:t>енежные расходы населения включают расходы на покупку товаров и оплату услуг,</w:t>
      </w:r>
      <w:r w:rsidR="00E2708F">
        <w:rPr>
          <w:rFonts w:ascii="Times New Roman" w:hAnsi="Times New Roman" w:cs="Times New Roman"/>
        </w:rPr>
        <w:t xml:space="preserve"> </w:t>
      </w:r>
      <w:r w:rsidR="00E2708F" w:rsidRPr="00E2708F">
        <w:rPr>
          <w:rFonts w:ascii="Times New Roman" w:hAnsi="Times New Roman" w:cs="Times New Roman"/>
        </w:rPr>
        <w:t xml:space="preserve"> обяз</w:t>
      </w:r>
      <w:r w:rsidR="00E2708F" w:rsidRPr="00E2708F">
        <w:rPr>
          <w:rFonts w:ascii="Times New Roman" w:hAnsi="Times New Roman" w:cs="Times New Roman"/>
        </w:rPr>
        <w:t>а</w:t>
      </w:r>
      <w:r w:rsidR="00E2708F" w:rsidRPr="00E2708F">
        <w:rPr>
          <w:rFonts w:ascii="Times New Roman" w:hAnsi="Times New Roman" w:cs="Times New Roman"/>
        </w:rPr>
        <w:t>тельные платежи (налоги</w:t>
      </w:r>
      <w:r w:rsidR="00E2708F">
        <w:rPr>
          <w:rFonts w:ascii="Times New Roman" w:hAnsi="Times New Roman" w:cs="Times New Roman"/>
        </w:rPr>
        <w:t xml:space="preserve">, </w:t>
      </w:r>
      <w:r w:rsidR="00E2708F" w:rsidRPr="00E2708F">
        <w:rPr>
          <w:rFonts w:ascii="Times New Roman" w:hAnsi="Times New Roman" w:cs="Times New Roman"/>
        </w:rPr>
        <w:t>сборы</w:t>
      </w:r>
      <w:r w:rsidR="00E2708F">
        <w:rPr>
          <w:rFonts w:ascii="Times New Roman" w:hAnsi="Times New Roman" w:cs="Times New Roman"/>
        </w:rPr>
        <w:t xml:space="preserve">) </w:t>
      </w:r>
      <w:r w:rsidR="00E2708F" w:rsidRPr="00E2708F">
        <w:rPr>
          <w:rFonts w:ascii="Times New Roman" w:hAnsi="Times New Roman" w:cs="Times New Roman"/>
        </w:rPr>
        <w:t xml:space="preserve"> кредиты</w:t>
      </w:r>
      <w:r w:rsidR="00E2708F">
        <w:rPr>
          <w:rFonts w:ascii="Times New Roman" w:hAnsi="Times New Roman" w:cs="Times New Roman"/>
        </w:rPr>
        <w:t xml:space="preserve"> </w:t>
      </w:r>
      <w:r w:rsidR="00E2708F" w:rsidRPr="00E2708F">
        <w:rPr>
          <w:rFonts w:ascii="Times New Roman" w:hAnsi="Times New Roman" w:cs="Times New Roman"/>
        </w:rPr>
        <w:t xml:space="preserve"> и сбережения. </w:t>
      </w:r>
    </w:p>
    <w:p w:rsidR="00E2708F" w:rsidRPr="00E2708F" w:rsidRDefault="00E2708F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2708F">
        <w:rPr>
          <w:rFonts w:ascii="Times New Roman" w:hAnsi="Times New Roman" w:cs="Times New Roman"/>
        </w:rPr>
        <w:t xml:space="preserve">Сбережения </w:t>
      </w:r>
      <w:r>
        <w:rPr>
          <w:rFonts w:ascii="Times New Roman" w:hAnsi="Times New Roman" w:cs="Times New Roman"/>
        </w:rPr>
        <w:t xml:space="preserve">в методологии Росстата определяются как </w:t>
      </w:r>
      <w:r w:rsidRPr="00E2708F">
        <w:rPr>
          <w:rFonts w:ascii="Times New Roman" w:hAnsi="Times New Roman" w:cs="Times New Roman"/>
        </w:rPr>
        <w:t>прирост (уменьшени</w:t>
      </w:r>
      <w:r>
        <w:rPr>
          <w:rFonts w:ascii="Times New Roman" w:hAnsi="Times New Roman" w:cs="Times New Roman"/>
        </w:rPr>
        <w:t>е</w:t>
      </w:r>
      <w:r w:rsidRPr="00E2708F">
        <w:rPr>
          <w:rFonts w:ascii="Times New Roman" w:hAnsi="Times New Roman" w:cs="Times New Roman"/>
        </w:rPr>
        <w:t xml:space="preserve">) вкладов </w:t>
      </w:r>
      <w:r>
        <w:rPr>
          <w:rFonts w:ascii="Times New Roman" w:hAnsi="Times New Roman" w:cs="Times New Roman"/>
        </w:rPr>
        <w:t xml:space="preserve">физических лиц </w:t>
      </w:r>
      <w:r w:rsidRPr="00E2708F">
        <w:rPr>
          <w:rFonts w:ascii="Times New Roman" w:hAnsi="Times New Roman" w:cs="Times New Roman"/>
        </w:rPr>
        <w:t xml:space="preserve">на счетах </w:t>
      </w:r>
      <w:r>
        <w:rPr>
          <w:rFonts w:ascii="Times New Roman" w:hAnsi="Times New Roman" w:cs="Times New Roman"/>
        </w:rPr>
        <w:t xml:space="preserve">в коммерческих банках. Кроме этого в составе сбережений учтены расходы на приобретение </w:t>
      </w:r>
      <w:r w:rsidRPr="00E2708F">
        <w:rPr>
          <w:rFonts w:ascii="Times New Roman" w:hAnsi="Times New Roman" w:cs="Times New Roman"/>
        </w:rPr>
        <w:t>иностра</w:t>
      </w:r>
      <w:r w:rsidRPr="00E2708F">
        <w:rPr>
          <w:rFonts w:ascii="Times New Roman" w:hAnsi="Times New Roman" w:cs="Times New Roman"/>
        </w:rPr>
        <w:t>н</w:t>
      </w:r>
      <w:r w:rsidRPr="00E2708F">
        <w:rPr>
          <w:rFonts w:ascii="Times New Roman" w:hAnsi="Times New Roman" w:cs="Times New Roman"/>
        </w:rPr>
        <w:t>ной валюты, ценных бумаг, недвижимости.</w:t>
      </w:r>
    </w:p>
    <w:p w:rsidR="00E2708F" w:rsidRDefault="005208EE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составе п</w:t>
      </w:r>
      <w:r w:rsidR="00E2708F" w:rsidRPr="00E2708F">
        <w:rPr>
          <w:rFonts w:ascii="Times New Roman" w:hAnsi="Times New Roman" w:cs="Times New Roman"/>
        </w:rPr>
        <w:t>отребительски</w:t>
      </w:r>
      <w:r>
        <w:rPr>
          <w:rFonts w:ascii="Times New Roman" w:hAnsi="Times New Roman" w:cs="Times New Roman"/>
        </w:rPr>
        <w:t xml:space="preserve">х расходов Росстата </w:t>
      </w:r>
      <w:r w:rsidR="00E2708F" w:rsidRPr="00E2708F">
        <w:rPr>
          <w:rFonts w:ascii="Times New Roman" w:hAnsi="Times New Roman" w:cs="Times New Roman"/>
        </w:rPr>
        <w:t>не учитыва</w:t>
      </w:r>
      <w:r>
        <w:rPr>
          <w:rFonts w:ascii="Times New Roman" w:hAnsi="Times New Roman" w:cs="Times New Roman"/>
        </w:rPr>
        <w:t>е</w:t>
      </w:r>
      <w:r w:rsidR="00E2708F" w:rsidRPr="00E2708F">
        <w:rPr>
          <w:rFonts w:ascii="Times New Roman" w:hAnsi="Times New Roman" w:cs="Times New Roman"/>
        </w:rPr>
        <w:t xml:space="preserve">т расходы на </w:t>
      </w:r>
      <w:r>
        <w:rPr>
          <w:rFonts w:ascii="Times New Roman" w:hAnsi="Times New Roman" w:cs="Times New Roman"/>
        </w:rPr>
        <w:t xml:space="preserve">приобретение </w:t>
      </w:r>
      <w:r w:rsidR="00E2708F" w:rsidRPr="00E2708F">
        <w:rPr>
          <w:rFonts w:ascii="Times New Roman" w:hAnsi="Times New Roman" w:cs="Times New Roman"/>
        </w:rPr>
        <w:t>произведений и</w:t>
      </w:r>
      <w:r w:rsidR="00E2708F" w:rsidRPr="00E2708F">
        <w:rPr>
          <w:rFonts w:ascii="Times New Roman" w:hAnsi="Times New Roman" w:cs="Times New Roman"/>
        </w:rPr>
        <w:t>с</w:t>
      </w:r>
      <w:r w:rsidR="00E2708F" w:rsidRPr="00E2708F">
        <w:rPr>
          <w:rFonts w:ascii="Times New Roman" w:hAnsi="Times New Roman" w:cs="Times New Roman"/>
        </w:rPr>
        <w:t>кусства</w:t>
      </w:r>
      <w:r>
        <w:rPr>
          <w:rFonts w:ascii="Times New Roman" w:hAnsi="Times New Roman" w:cs="Times New Roman"/>
        </w:rPr>
        <w:t xml:space="preserve"> (</w:t>
      </w:r>
      <w:r w:rsidR="00E2708F" w:rsidRPr="00E2708F">
        <w:rPr>
          <w:rFonts w:ascii="Times New Roman" w:hAnsi="Times New Roman" w:cs="Times New Roman"/>
        </w:rPr>
        <w:t>антиквариат</w:t>
      </w:r>
      <w:r>
        <w:rPr>
          <w:rFonts w:ascii="Times New Roman" w:hAnsi="Times New Roman" w:cs="Times New Roman"/>
        </w:rPr>
        <w:t xml:space="preserve">, </w:t>
      </w:r>
      <w:r w:rsidR="00E2708F" w:rsidRPr="00E2708F">
        <w:rPr>
          <w:rFonts w:ascii="Times New Roman" w:hAnsi="Times New Roman" w:cs="Times New Roman"/>
        </w:rPr>
        <w:t>ювелирных изделий</w:t>
      </w:r>
      <w:r>
        <w:rPr>
          <w:rFonts w:ascii="Times New Roman" w:hAnsi="Times New Roman" w:cs="Times New Roman"/>
        </w:rPr>
        <w:t xml:space="preserve">) и рассматривает указанные затраты как </w:t>
      </w:r>
      <w:r w:rsidR="00E2708F" w:rsidRPr="00E2708F">
        <w:rPr>
          <w:rFonts w:ascii="Times New Roman" w:hAnsi="Times New Roman" w:cs="Times New Roman"/>
        </w:rPr>
        <w:t>капиталовложени</w:t>
      </w:r>
      <w:r>
        <w:rPr>
          <w:rFonts w:ascii="Times New Roman" w:hAnsi="Times New Roman" w:cs="Times New Roman"/>
        </w:rPr>
        <w:t>я. К кап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тальным вложениям кроме того относят расходы на строительство объектов недвижимости</w:t>
      </w:r>
      <w:r w:rsidR="00E2708F" w:rsidRPr="00E2708F">
        <w:rPr>
          <w:rFonts w:ascii="Times New Roman" w:hAnsi="Times New Roman" w:cs="Times New Roman"/>
        </w:rPr>
        <w:t>.</w:t>
      </w:r>
    </w:p>
    <w:p w:rsidR="003D073F" w:rsidRDefault="003D073F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Исходные данные о динамике исследуемых показателей представлены в таблице 1.</w:t>
      </w:r>
    </w:p>
    <w:p w:rsidR="00B86691" w:rsidRDefault="00B86691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86691" w:rsidRDefault="00B86691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1 – Динамика доходов и расходов физических лиц в России за период с 2000 по 2016 </w:t>
      </w:r>
      <w:proofErr w:type="spellStart"/>
      <w:proofErr w:type="gramStart"/>
      <w:r>
        <w:rPr>
          <w:rFonts w:ascii="Times New Roman" w:hAnsi="Times New Roman" w:cs="Times New Roman"/>
        </w:rPr>
        <w:t>гг</w:t>
      </w:r>
      <w:proofErr w:type="spellEnd"/>
      <w:proofErr w:type="gramEnd"/>
      <w:r>
        <w:rPr>
          <w:rFonts w:ascii="Times New Roman" w:hAnsi="Times New Roman" w:cs="Times New Roman"/>
        </w:rPr>
        <w:t>, млрд. руб.</w:t>
      </w:r>
    </w:p>
    <w:tbl>
      <w:tblPr>
        <w:tblW w:w="9794" w:type="dxa"/>
        <w:tblInd w:w="103" w:type="dxa"/>
        <w:tblLook w:val="04A0" w:firstRow="1" w:lastRow="0" w:firstColumn="1" w:lastColumn="0" w:noHBand="0" w:noVBand="1"/>
      </w:tblPr>
      <w:tblGrid>
        <w:gridCol w:w="2840"/>
        <w:gridCol w:w="859"/>
        <w:gridCol w:w="992"/>
        <w:gridCol w:w="850"/>
        <w:gridCol w:w="851"/>
        <w:gridCol w:w="850"/>
        <w:gridCol w:w="851"/>
        <w:gridCol w:w="850"/>
        <w:gridCol w:w="851"/>
      </w:tblGrid>
      <w:tr w:rsidR="00B86691" w:rsidRPr="003D073F" w:rsidTr="00B86691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2000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2005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2010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2012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2013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2014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2015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73F" w:rsidRPr="003D073F" w:rsidRDefault="003D073F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2016</w:t>
            </w:r>
            <w:r w:rsidR="00B86691">
              <w:rPr>
                <w:sz w:val="20"/>
                <w:szCs w:val="20"/>
              </w:rPr>
              <w:t xml:space="preserve"> г.</w:t>
            </w:r>
          </w:p>
        </w:tc>
      </w:tr>
      <w:tr w:rsidR="00B86691" w:rsidRPr="003D073F" w:rsidTr="00B8669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3D073F" w:rsidRDefault="00B86691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 xml:space="preserve">Денежные доходы (расходы) всего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2016</w:t>
            </w:r>
          </w:p>
        </w:tc>
      </w:tr>
      <w:tr w:rsidR="00B86691" w:rsidRPr="003D073F" w:rsidTr="00B8669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3D073F" w:rsidRDefault="00B86691" w:rsidP="00B866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Расходы на приобретение т</w:t>
            </w:r>
            <w:r w:rsidRPr="003D073F">
              <w:rPr>
                <w:sz w:val="20"/>
                <w:szCs w:val="20"/>
              </w:rPr>
              <w:t>о</w:t>
            </w:r>
            <w:r w:rsidRPr="003D073F">
              <w:rPr>
                <w:sz w:val="20"/>
                <w:szCs w:val="20"/>
              </w:rPr>
              <w:t xml:space="preserve">варов и оплату услуг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13819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32498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39904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44650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47921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53526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54102</w:t>
            </w:r>
          </w:p>
        </w:tc>
      </w:tr>
      <w:tr w:rsidR="00B86691" w:rsidRPr="003D073F" w:rsidTr="00B8669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3D073F" w:rsidRDefault="00B86691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 xml:space="preserve">Прирост финансовых активов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9614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22614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29611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32848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36106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38004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39284</w:t>
            </w:r>
          </w:p>
        </w:tc>
      </w:tr>
      <w:tr w:rsidR="00B86691" w:rsidRPr="003D073F" w:rsidTr="00B86691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3D073F" w:rsidRDefault="00B86691" w:rsidP="003D0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3D073F">
              <w:rPr>
                <w:sz w:val="20"/>
                <w:szCs w:val="20"/>
              </w:rPr>
              <w:t>Объем платных услуг насел</w:t>
            </w:r>
            <w:r w:rsidRPr="003D073F">
              <w:rPr>
                <w:sz w:val="20"/>
                <w:szCs w:val="20"/>
              </w:rPr>
              <w:t>е</w:t>
            </w:r>
            <w:r w:rsidRPr="003D073F">
              <w:rPr>
                <w:sz w:val="20"/>
                <w:szCs w:val="20"/>
              </w:rPr>
              <w:t xml:space="preserve">нию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2463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5614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4161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4838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4001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8214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91" w:rsidRPr="00B86691" w:rsidRDefault="00B86691">
            <w:pPr>
              <w:jc w:val="right"/>
              <w:rPr>
                <w:sz w:val="20"/>
                <w:szCs w:val="20"/>
              </w:rPr>
            </w:pPr>
            <w:r w:rsidRPr="00B86691">
              <w:rPr>
                <w:sz w:val="20"/>
                <w:szCs w:val="20"/>
              </w:rPr>
              <w:t>7185</w:t>
            </w:r>
          </w:p>
        </w:tc>
      </w:tr>
    </w:tbl>
    <w:p w:rsidR="003D073F" w:rsidRPr="00E2708F" w:rsidRDefault="003D073F" w:rsidP="00E2708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7E74" w:rsidRDefault="00F710A3">
      <w:pPr>
        <w:spacing w:before="240" w:line="264" w:lineRule="auto"/>
        <w:ind w:left="720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IV. Результаты экспериментов</w:t>
      </w:r>
    </w:p>
    <w:p w:rsidR="00FD7E74" w:rsidRDefault="00FD7E74">
      <w:pPr>
        <w:spacing w:line="264" w:lineRule="auto"/>
        <w:ind w:left="720"/>
        <w:jc w:val="center"/>
        <w:rPr>
          <w:smallCaps/>
          <w:sz w:val="20"/>
          <w:szCs w:val="20"/>
        </w:rPr>
      </w:pPr>
    </w:p>
    <w:p w:rsidR="00FD7E74" w:rsidRDefault="00B8669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F710A3">
        <w:rPr>
          <w:sz w:val="20"/>
          <w:szCs w:val="20"/>
        </w:rPr>
        <w:t>нализ</w:t>
      </w:r>
      <w:r>
        <w:rPr>
          <w:sz w:val="20"/>
          <w:szCs w:val="20"/>
        </w:rPr>
        <w:t xml:space="preserve"> динамики показателей, </w:t>
      </w:r>
      <w:r w:rsidR="002D2760">
        <w:rPr>
          <w:sz w:val="20"/>
          <w:szCs w:val="20"/>
        </w:rPr>
        <w:t xml:space="preserve"> </w:t>
      </w:r>
      <w:r>
        <w:rPr>
          <w:sz w:val="20"/>
          <w:szCs w:val="20"/>
        </w:rPr>
        <w:t>представленных в таблице 1</w:t>
      </w:r>
      <w:r w:rsidR="002D2760">
        <w:rPr>
          <w:sz w:val="20"/>
          <w:szCs w:val="20"/>
        </w:rPr>
        <w:t>,</w:t>
      </w:r>
      <w:r>
        <w:rPr>
          <w:sz w:val="20"/>
          <w:szCs w:val="20"/>
        </w:rPr>
        <w:t xml:space="preserve"> позволяет сделать вывод о том, что с ростом доходов, растут и объем</w:t>
      </w:r>
      <w:r w:rsidR="00545919">
        <w:rPr>
          <w:sz w:val="20"/>
          <w:szCs w:val="20"/>
        </w:rPr>
        <w:t>ы</w:t>
      </w:r>
      <w:r>
        <w:rPr>
          <w:sz w:val="20"/>
          <w:szCs w:val="20"/>
        </w:rPr>
        <w:t xml:space="preserve"> потребления товаров и услуг. Однако, очевидно, что указанный рост может быть следствием влияния инфляционных факторов и не свидетельствует о фактическом увеличении потре</w:t>
      </w:r>
      <w:r>
        <w:rPr>
          <w:sz w:val="20"/>
          <w:szCs w:val="20"/>
        </w:rPr>
        <w:t>б</w:t>
      </w:r>
      <w:r>
        <w:rPr>
          <w:sz w:val="20"/>
          <w:szCs w:val="20"/>
        </w:rPr>
        <w:t xml:space="preserve">ления. Связь меду ростом доходов и склонностью к </w:t>
      </w:r>
      <w:r w:rsidR="002D2760">
        <w:rPr>
          <w:sz w:val="20"/>
          <w:szCs w:val="20"/>
        </w:rPr>
        <w:t xml:space="preserve">накоплениям </w:t>
      </w:r>
      <w:r>
        <w:rPr>
          <w:sz w:val="20"/>
          <w:szCs w:val="20"/>
        </w:rPr>
        <w:t xml:space="preserve">сбережениям </w:t>
      </w:r>
      <w:r w:rsidR="00C472F5">
        <w:rPr>
          <w:sz w:val="20"/>
          <w:szCs w:val="20"/>
        </w:rPr>
        <w:t xml:space="preserve">практически </w:t>
      </w:r>
      <w:r>
        <w:rPr>
          <w:sz w:val="20"/>
          <w:szCs w:val="20"/>
        </w:rPr>
        <w:t xml:space="preserve">не прослеживается. Так как, несмотря на увеличение доходов, объемы </w:t>
      </w:r>
      <w:r w:rsidR="002D2760">
        <w:rPr>
          <w:sz w:val="20"/>
          <w:szCs w:val="20"/>
        </w:rPr>
        <w:t xml:space="preserve">инвестиции физических лиц в финансовые активы  </w:t>
      </w:r>
      <w:r>
        <w:rPr>
          <w:sz w:val="20"/>
          <w:szCs w:val="20"/>
        </w:rPr>
        <w:t>остаются на д</w:t>
      </w:r>
      <w:r>
        <w:rPr>
          <w:sz w:val="20"/>
          <w:szCs w:val="20"/>
        </w:rPr>
        <w:t>о</w:t>
      </w:r>
      <w:r>
        <w:rPr>
          <w:sz w:val="20"/>
          <w:szCs w:val="20"/>
        </w:rPr>
        <w:t xml:space="preserve">статочно низком уровне (рисунок 1). </w:t>
      </w:r>
    </w:p>
    <w:p w:rsidR="00B86691" w:rsidRDefault="00B86691">
      <w:pPr>
        <w:ind w:firstLine="284"/>
        <w:jc w:val="both"/>
        <w:rPr>
          <w:sz w:val="20"/>
          <w:szCs w:val="20"/>
        </w:rPr>
      </w:pPr>
    </w:p>
    <w:p w:rsidR="00FD7E74" w:rsidRDefault="00B86691" w:rsidP="00B86691">
      <w:pPr>
        <w:jc w:val="both"/>
        <w:rPr>
          <w:color w:val="FF0000"/>
          <w:sz w:val="20"/>
          <w:szCs w:val="20"/>
        </w:rPr>
      </w:pPr>
      <w:r w:rsidRPr="00B86691">
        <w:rPr>
          <w:noProof/>
          <w:color w:val="FF0000"/>
          <w:sz w:val="20"/>
          <w:szCs w:val="20"/>
        </w:rPr>
        <w:drawing>
          <wp:inline distT="0" distB="0" distL="0" distR="0">
            <wp:extent cx="5743575" cy="4305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7E74" w:rsidRDefault="00FD7E74">
      <w:pPr>
        <w:jc w:val="both"/>
        <w:rPr>
          <w:color w:val="FF0000"/>
          <w:sz w:val="20"/>
          <w:szCs w:val="20"/>
        </w:rPr>
      </w:pPr>
    </w:p>
    <w:p w:rsidR="00B86691" w:rsidRDefault="00B86691">
      <w:pPr>
        <w:ind w:firstLine="284"/>
        <w:jc w:val="center"/>
        <w:rPr>
          <w:sz w:val="20"/>
          <w:szCs w:val="20"/>
        </w:rPr>
      </w:pPr>
    </w:p>
    <w:p w:rsidR="00FD7E74" w:rsidRDefault="00F710A3" w:rsidP="00B8669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Рисунок 1 – </w:t>
      </w:r>
      <w:r w:rsidR="00B86691" w:rsidRPr="00B86691">
        <w:rPr>
          <w:sz w:val="20"/>
          <w:szCs w:val="20"/>
        </w:rPr>
        <w:t xml:space="preserve">Динамика доходов и расходов физических лиц в России за период с 2000 по 2016 </w:t>
      </w:r>
      <w:proofErr w:type="spellStart"/>
      <w:proofErr w:type="gramStart"/>
      <w:r w:rsidR="00B86691" w:rsidRPr="00B86691">
        <w:rPr>
          <w:sz w:val="20"/>
          <w:szCs w:val="20"/>
        </w:rPr>
        <w:t>гг</w:t>
      </w:r>
      <w:proofErr w:type="spellEnd"/>
      <w:proofErr w:type="gramEnd"/>
      <w:r w:rsidR="00B86691" w:rsidRPr="00B86691">
        <w:rPr>
          <w:sz w:val="20"/>
          <w:szCs w:val="20"/>
        </w:rPr>
        <w:t>, млрд. руб.</w:t>
      </w:r>
      <w:r>
        <w:rPr>
          <w:sz w:val="20"/>
          <w:szCs w:val="20"/>
        </w:rPr>
        <w:t>.</w:t>
      </w:r>
    </w:p>
    <w:p w:rsidR="00FD7E74" w:rsidRDefault="00FD7E74">
      <w:pPr>
        <w:jc w:val="both"/>
        <w:rPr>
          <w:sz w:val="20"/>
          <w:szCs w:val="20"/>
        </w:rPr>
      </w:pPr>
    </w:p>
    <w:p w:rsidR="00C472F5" w:rsidRDefault="00B8669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С целью оценки зависимости между до</w:t>
      </w:r>
      <w:r w:rsidR="002D2760">
        <w:rPr>
          <w:sz w:val="20"/>
          <w:szCs w:val="20"/>
        </w:rPr>
        <w:t>ходами населения и их склонности</w:t>
      </w:r>
      <w:r>
        <w:rPr>
          <w:sz w:val="20"/>
          <w:szCs w:val="20"/>
        </w:rPr>
        <w:t xml:space="preserve"> к увеличению потребительских расходов и </w:t>
      </w:r>
      <w:r w:rsidR="002D2760">
        <w:rPr>
          <w:sz w:val="20"/>
          <w:szCs w:val="20"/>
        </w:rPr>
        <w:t>инвестированию сре</w:t>
      </w:r>
      <w:proofErr w:type="gramStart"/>
      <w:r w:rsidR="002D2760">
        <w:rPr>
          <w:sz w:val="20"/>
          <w:szCs w:val="20"/>
        </w:rPr>
        <w:t>дств в ф</w:t>
      </w:r>
      <w:proofErr w:type="gramEnd"/>
      <w:r w:rsidR="002D2760">
        <w:rPr>
          <w:sz w:val="20"/>
          <w:szCs w:val="20"/>
        </w:rPr>
        <w:t xml:space="preserve">инансовые активы </w:t>
      </w:r>
      <w:r>
        <w:rPr>
          <w:sz w:val="20"/>
          <w:szCs w:val="20"/>
        </w:rPr>
        <w:t xml:space="preserve">был проведен анализ корреляционной зависимости </w:t>
      </w:r>
      <w:r w:rsidR="00C472F5">
        <w:rPr>
          <w:sz w:val="20"/>
          <w:szCs w:val="20"/>
        </w:rPr>
        <w:t>следующих пар п</w:t>
      </w:r>
      <w:r w:rsidR="00C472F5">
        <w:rPr>
          <w:sz w:val="20"/>
          <w:szCs w:val="20"/>
        </w:rPr>
        <w:t>о</w:t>
      </w:r>
      <w:r w:rsidR="00C472F5">
        <w:rPr>
          <w:sz w:val="20"/>
          <w:szCs w:val="20"/>
        </w:rPr>
        <w:t>казателей:</w:t>
      </w:r>
    </w:p>
    <w:p w:rsidR="00C472F5" w:rsidRDefault="00C472F5" w:rsidP="00C472F5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–  доходы населения и расходы физических лиц на покупку товаров;</w:t>
      </w:r>
    </w:p>
    <w:p w:rsidR="00C472F5" w:rsidRDefault="00C472F5" w:rsidP="00C472F5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–  доходы населения и расходы физических лиц на оплату услуг;</w:t>
      </w:r>
    </w:p>
    <w:p w:rsidR="00C472F5" w:rsidRDefault="00C472F5" w:rsidP="00C472F5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–  доходы населения и прирост финансовых активов.</w:t>
      </w:r>
    </w:p>
    <w:p w:rsidR="00B86691" w:rsidRDefault="00B8669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Результаты анализа представлены в таблице 2.</w:t>
      </w:r>
    </w:p>
    <w:p w:rsidR="00C472F5" w:rsidRDefault="00C472F5">
      <w:pPr>
        <w:ind w:firstLine="284"/>
        <w:jc w:val="both"/>
        <w:rPr>
          <w:sz w:val="20"/>
          <w:szCs w:val="20"/>
        </w:rPr>
      </w:pPr>
    </w:p>
    <w:p w:rsidR="00C472F5" w:rsidRDefault="00C472F5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Таблица 2 – Результаты корреляционного анализа  </w:t>
      </w:r>
      <w:r w:rsidRPr="00C472F5">
        <w:rPr>
          <w:sz w:val="20"/>
          <w:szCs w:val="20"/>
        </w:rPr>
        <w:t xml:space="preserve">доходов и расходов физических лиц в России за период с 2000 по 2016 </w:t>
      </w:r>
      <w:proofErr w:type="spellStart"/>
      <w:proofErr w:type="gramStart"/>
      <w:r w:rsidRPr="00C472F5">
        <w:rPr>
          <w:sz w:val="20"/>
          <w:szCs w:val="20"/>
        </w:rPr>
        <w:t>гг</w:t>
      </w:r>
      <w:proofErr w:type="spellEnd"/>
      <w:proofErr w:type="gramEnd"/>
      <w:r w:rsidRPr="00C472F5">
        <w:rPr>
          <w:sz w:val="20"/>
          <w:szCs w:val="20"/>
        </w:rPr>
        <w:t>, млрд. руб.</w:t>
      </w:r>
    </w:p>
    <w:p w:rsidR="00FD7E74" w:rsidRDefault="00FD7E74">
      <w:pPr>
        <w:ind w:firstLine="284"/>
        <w:jc w:val="both"/>
        <w:rPr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356"/>
        <w:gridCol w:w="1836"/>
        <w:gridCol w:w="1357"/>
        <w:gridCol w:w="1302"/>
        <w:gridCol w:w="1357"/>
        <w:gridCol w:w="1194"/>
      </w:tblGrid>
      <w:tr w:rsidR="006E26BD" w:rsidRPr="00C472F5" w:rsidTr="006E26BD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Денежные доходы (ра</w:t>
            </w:r>
            <w:r w:rsidRPr="006E26BD">
              <w:rPr>
                <w:sz w:val="20"/>
                <w:szCs w:val="20"/>
              </w:rPr>
              <w:t>с</w:t>
            </w:r>
            <w:r w:rsidRPr="006E26BD">
              <w:rPr>
                <w:sz w:val="20"/>
                <w:szCs w:val="20"/>
              </w:rPr>
              <w:t>ходы)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Расходы на пр</w:t>
            </w:r>
            <w:r w:rsidRPr="006E26BD">
              <w:rPr>
                <w:sz w:val="20"/>
                <w:szCs w:val="20"/>
              </w:rPr>
              <w:t>и</w:t>
            </w:r>
            <w:r w:rsidRPr="006E26BD">
              <w:rPr>
                <w:sz w:val="20"/>
                <w:szCs w:val="20"/>
              </w:rPr>
              <w:t>обретение товаров и оплату услуг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Денежные доходы (ра</w:t>
            </w:r>
            <w:r w:rsidRPr="006E26BD">
              <w:rPr>
                <w:sz w:val="20"/>
                <w:szCs w:val="20"/>
              </w:rPr>
              <w:t>с</w:t>
            </w:r>
            <w:r w:rsidRPr="006E26BD">
              <w:rPr>
                <w:sz w:val="20"/>
                <w:szCs w:val="20"/>
              </w:rPr>
              <w:t>ходы)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Объем платных услуг нас</w:t>
            </w:r>
            <w:r w:rsidRPr="006E26BD">
              <w:rPr>
                <w:sz w:val="20"/>
                <w:szCs w:val="20"/>
              </w:rPr>
              <w:t>е</w:t>
            </w:r>
            <w:r w:rsidRPr="006E26BD">
              <w:rPr>
                <w:sz w:val="20"/>
                <w:szCs w:val="20"/>
              </w:rPr>
              <w:t>лению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Денежные доходы (ра</w:t>
            </w:r>
            <w:r w:rsidRPr="006E26BD">
              <w:rPr>
                <w:sz w:val="20"/>
                <w:szCs w:val="20"/>
              </w:rPr>
              <w:t>с</w:t>
            </w:r>
            <w:r w:rsidRPr="006E26BD">
              <w:rPr>
                <w:sz w:val="20"/>
                <w:szCs w:val="20"/>
              </w:rPr>
              <w:t>ходы) всего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Прирост финанс</w:t>
            </w:r>
            <w:r w:rsidRPr="006E26BD">
              <w:rPr>
                <w:sz w:val="20"/>
                <w:szCs w:val="20"/>
              </w:rPr>
              <w:t>о</w:t>
            </w:r>
            <w:r w:rsidRPr="006E26BD">
              <w:rPr>
                <w:sz w:val="20"/>
                <w:szCs w:val="20"/>
              </w:rPr>
              <w:t>вых акт</w:t>
            </w:r>
            <w:r w:rsidRPr="006E26BD">
              <w:rPr>
                <w:sz w:val="20"/>
                <w:szCs w:val="20"/>
              </w:rPr>
              <w:t>и</w:t>
            </w:r>
            <w:r w:rsidRPr="006E26BD">
              <w:rPr>
                <w:sz w:val="20"/>
                <w:szCs w:val="20"/>
              </w:rPr>
              <w:t>вов</w:t>
            </w:r>
          </w:p>
        </w:tc>
      </w:tr>
      <w:tr w:rsidR="006E26BD" w:rsidRPr="00C472F5" w:rsidTr="006E26B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Дисперсия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1198335602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161248112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1198335602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3417576,4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1198335602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5224989</w:t>
            </w:r>
          </w:p>
        </w:tc>
      </w:tr>
      <w:tr w:rsidR="006E26BD" w:rsidRPr="00C472F5" w:rsidTr="006E26B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Среднеква</w:t>
            </w:r>
            <w:r w:rsidRPr="006E26BD">
              <w:rPr>
                <w:sz w:val="20"/>
                <w:szCs w:val="20"/>
              </w:rPr>
              <w:t>д</w:t>
            </w:r>
            <w:r w:rsidRPr="006E26BD">
              <w:rPr>
                <w:sz w:val="20"/>
                <w:szCs w:val="20"/>
              </w:rPr>
              <w:t xml:space="preserve">ратическое отклонение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34617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12698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34617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34617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2286</w:t>
            </w:r>
          </w:p>
        </w:tc>
      </w:tr>
      <w:tr w:rsidR="006E26BD" w:rsidRPr="00C472F5" w:rsidTr="006E26B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Ковариация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133260386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-6463172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10763386</w:t>
            </w:r>
          </w:p>
        </w:tc>
      </w:tr>
      <w:tr w:rsidR="006E26BD" w:rsidRPr="00C472F5" w:rsidTr="006E26BD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Коэффиц</w:t>
            </w:r>
            <w:r w:rsidRPr="006E26BD">
              <w:rPr>
                <w:sz w:val="20"/>
                <w:szCs w:val="20"/>
              </w:rPr>
              <w:t>и</w:t>
            </w:r>
            <w:r w:rsidRPr="006E26BD">
              <w:rPr>
                <w:sz w:val="20"/>
                <w:szCs w:val="20"/>
              </w:rPr>
              <w:t>ент коррел</w:t>
            </w:r>
            <w:r w:rsidRPr="006E26BD">
              <w:rPr>
                <w:sz w:val="20"/>
                <w:szCs w:val="20"/>
              </w:rPr>
              <w:t>я</w:t>
            </w:r>
            <w:r w:rsidRPr="006E26BD">
              <w:rPr>
                <w:sz w:val="20"/>
                <w:szCs w:val="20"/>
              </w:rPr>
              <w:t>ции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0,30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-0,10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  <w:hideMark/>
          </w:tcPr>
          <w:p w:rsidR="006E26BD" w:rsidRPr="006E26BD" w:rsidRDefault="006E26BD" w:rsidP="006E26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0"/>
                <w:szCs w:val="20"/>
              </w:rPr>
            </w:pPr>
            <w:r w:rsidRPr="006E26BD">
              <w:rPr>
                <w:sz w:val="20"/>
                <w:szCs w:val="20"/>
              </w:rPr>
              <w:t>0,14</w:t>
            </w:r>
          </w:p>
        </w:tc>
      </w:tr>
    </w:tbl>
    <w:p w:rsidR="006E26BD" w:rsidRDefault="006E26BD">
      <w:pPr>
        <w:ind w:firstLine="284"/>
        <w:jc w:val="both"/>
        <w:rPr>
          <w:sz w:val="20"/>
          <w:szCs w:val="20"/>
        </w:rPr>
      </w:pPr>
    </w:p>
    <w:p w:rsidR="00710DE1" w:rsidRDefault="00710DE1">
      <w:pPr>
        <w:ind w:firstLine="284"/>
        <w:jc w:val="both"/>
        <w:rPr>
          <w:sz w:val="20"/>
          <w:szCs w:val="20"/>
        </w:rPr>
      </w:pPr>
    </w:p>
    <w:p w:rsidR="00FD7E74" w:rsidRPr="00C472F5" w:rsidRDefault="00F710A3">
      <w:pPr>
        <w:spacing w:before="240" w:after="120" w:line="264" w:lineRule="auto"/>
        <w:jc w:val="center"/>
        <w:rPr>
          <w:sz w:val="20"/>
          <w:szCs w:val="20"/>
        </w:rPr>
      </w:pPr>
      <w:r w:rsidRPr="00C472F5">
        <w:rPr>
          <w:sz w:val="20"/>
          <w:szCs w:val="20"/>
        </w:rPr>
        <w:t>V. Обсуждение результатов</w:t>
      </w:r>
    </w:p>
    <w:p w:rsidR="00A21455" w:rsidRDefault="00C472F5" w:rsidP="00710DE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Анализ данных, представленных в таблице 2 достаточно ярко демонстрирует тот факт, что   </w:t>
      </w:r>
      <w:r w:rsidR="00A21455">
        <w:rPr>
          <w:sz w:val="20"/>
          <w:szCs w:val="20"/>
        </w:rPr>
        <w:t xml:space="preserve">связь </w:t>
      </w:r>
      <w:proofErr w:type="gramStart"/>
      <w:r w:rsidR="00A21455">
        <w:rPr>
          <w:sz w:val="20"/>
          <w:szCs w:val="20"/>
        </w:rPr>
        <w:t>между</w:t>
      </w:r>
      <w:proofErr w:type="gramEnd"/>
      <w:r w:rsidR="00A21455">
        <w:rPr>
          <w:sz w:val="20"/>
          <w:szCs w:val="20"/>
        </w:rPr>
        <w:t xml:space="preserve"> </w:t>
      </w:r>
      <w:proofErr w:type="gramStart"/>
      <w:r w:rsidR="00A21455">
        <w:rPr>
          <w:sz w:val="20"/>
          <w:szCs w:val="20"/>
        </w:rPr>
        <w:t>объемам</w:t>
      </w:r>
      <w:proofErr w:type="gramEnd"/>
      <w:r w:rsidR="00A21455">
        <w:rPr>
          <w:sz w:val="20"/>
          <w:szCs w:val="20"/>
        </w:rPr>
        <w:t xml:space="preserve"> доходов и расходов </w:t>
      </w:r>
      <w:r w:rsidR="002D2760">
        <w:rPr>
          <w:sz w:val="20"/>
          <w:szCs w:val="20"/>
        </w:rPr>
        <w:t xml:space="preserve">на оплату товаров и </w:t>
      </w:r>
      <w:r w:rsidR="00A21455">
        <w:rPr>
          <w:sz w:val="20"/>
          <w:szCs w:val="20"/>
        </w:rPr>
        <w:t xml:space="preserve">услуг достаточно слабая. </w:t>
      </w:r>
      <w:r w:rsidR="002D2760">
        <w:rPr>
          <w:sz w:val="20"/>
          <w:szCs w:val="20"/>
        </w:rPr>
        <w:t>Коэффициент корреляции полож</w:t>
      </w:r>
      <w:r w:rsidR="002D2760">
        <w:rPr>
          <w:sz w:val="20"/>
          <w:szCs w:val="20"/>
        </w:rPr>
        <w:t>и</w:t>
      </w:r>
      <w:r w:rsidR="002D2760">
        <w:rPr>
          <w:sz w:val="20"/>
          <w:szCs w:val="20"/>
        </w:rPr>
        <w:t>тельный и равен 0,3. Расходы на оплату услуг фактически не зависят от уровня доходов (коэффициент коррел</w:t>
      </w:r>
      <w:r w:rsidR="002D2760">
        <w:rPr>
          <w:sz w:val="20"/>
          <w:szCs w:val="20"/>
        </w:rPr>
        <w:t>я</w:t>
      </w:r>
      <w:r w:rsidR="002D2760">
        <w:rPr>
          <w:sz w:val="20"/>
          <w:szCs w:val="20"/>
        </w:rPr>
        <w:t xml:space="preserve">ции практически близок к нулю). </w:t>
      </w:r>
      <w:r w:rsidR="00A1275F">
        <w:rPr>
          <w:sz w:val="20"/>
          <w:szCs w:val="20"/>
        </w:rPr>
        <w:t>Склонность физических лиц к инвестированию временно свободных дене</w:t>
      </w:r>
      <w:r w:rsidR="00A1275F">
        <w:rPr>
          <w:sz w:val="20"/>
          <w:szCs w:val="20"/>
        </w:rPr>
        <w:t>ж</w:t>
      </w:r>
      <w:r w:rsidR="00A1275F">
        <w:rPr>
          <w:sz w:val="20"/>
          <w:szCs w:val="20"/>
        </w:rPr>
        <w:t>ных сре</w:t>
      </w:r>
      <w:proofErr w:type="gramStart"/>
      <w:r w:rsidR="00A1275F">
        <w:rPr>
          <w:sz w:val="20"/>
          <w:szCs w:val="20"/>
        </w:rPr>
        <w:t>дств в ф</w:t>
      </w:r>
      <w:proofErr w:type="gramEnd"/>
      <w:r w:rsidR="00A1275F">
        <w:rPr>
          <w:sz w:val="20"/>
          <w:szCs w:val="20"/>
        </w:rPr>
        <w:t xml:space="preserve">инансовые активы, то же, как оказывается, мало зависит от динамики доходов (коэффициент  корреляции - 0,14). </w:t>
      </w:r>
      <w:r w:rsidR="00A1275F">
        <w:rPr>
          <w:sz w:val="20"/>
          <w:szCs w:val="20"/>
        </w:rPr>
        <w:t>Причинами такой тенденции м</w:t>
      </w:r>
      <w:r w:rsidR="00A1275F">
        <w:rPr>
          <w:sz w:val="20"/>
          <w:szCs w:val="20"/>
        </w:rPr>
        <w:t>о</w:t>
      </w:r>
      <w:r w:rsidR="00A1275F">
        <w:rPr>
          <w:sz w:val="20"/>
          <w:szCs w:val="20"/>
        </w:rPr>
        <w:t>гут быть и склонность к капитальным вложениям, наличие кредитов, психологические особенности личности и др.</w:t>
      </w:r>
      <w:r w:rsidR="00A1275F" w:rsidRPr="00A1275F">
        <w:rPr>
          <w:sz w:val="20"/>
          <w:szCs w:val="20"/>
        </w:rPr>
        <w:t xml:space="preserve"> </w:t>
      </w:r>
    </w:p>
    <w:p w:rsidR="00FD7E74" w:rsidRDefault="00F710A3">
      <w:pPr>
        <w:spacing w:before="240" w:after="120" w:line="264" w:lineRule="auto"/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VI. Выводы и заключение</w:t>
      </w:r>
    </w:p>
    <w:p w:rsidR="00FD7E74" w:rsidRDefault="00A1275F" w:rsidP="00710DE1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 сказанное безусловно свидетельствует о проведении дополнительного, более глубоко исследования каждой пары </w:t>
      </w:r>
      <w:r>
        <w:rPr>
          <w:sz w:val="20"/>
          <w:szCs w:val="20"/>
        </w:rPr>
        <w:t>показателей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Однако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с другой стороны и позволяет констатировать тот факт, что фактор дохода, не является решающим при принятии населением (отдельным физическим лицом) решения о распределении своих денежных средств по направлениям ра</w:t>
      </w:r>
      <w:r>
        <w:rPr>
          <w:sz w:val="20"/>
          <w:szCs w:val="20"/>
        </w:rPr>
        <w:t>с</w:t>
      </w:r>
      <w:r>
        <w:rPr>
          <w:sz w:val="20"/>
          <w:szCs w:val="20"/>
        </w:rPr>
        <w:t xml:space="preserve">ходования. </w:t>
      </w:r>
    </w:p>
    <w:p w:rsidR="00710DE1" w:rsidRDefault="00710DE1" w:rsidP="00710DE1">
      <w:pPr>
        <w:jc w:val="center"/>
        <w:rPr>
          <w:smallCaps/>
          <w:sz w:val="20"/>
          <w:szCs w:val="20"/>
        </w:rPr>
      </w:pPr>
    </w:p>
    <w:p w:rsidR="00FD7E74" w:rsidRDefault="00F710A3" w:rsidP="00710DE1">
      <w:pPr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Список литературы</w:t>
      </w:r>
    </w:p>
    <w:p w:rsidR="00547222" w:rsidRDefault="00547222">
      <w:pPr>
        <w:jc w:val="both"/>
        <w:rPr>
          <w:sz w:val="20"/>
          <w:szCs w:val="20"/>
        </w:rPr>
      </w:pPr>
    </w:p>
    <w:p w:rsidR="00547222" w:rsidRPr="00547222" w:rsidRDefault="00547222" w:rsidP="00710D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284"/>
        <w:rPr>
          <w:sz w:val="20"/>
          <w:szCs w:val="20"/>
        </w:rPr>
      </w:pPr>
      <w:r w:rsidRPr="00547222">
        <w:rPr>
          <w:sz w:val="20"/>
          <w:szCs w:val="20"/>
        </w:rPr>
        <w:t>Иваницкий В. П., Александров С. А. Формирование поведенческих финансов как закономерный этап эволюции модели человека в эко</w:t>
      </w:r>
      <w:r>
        <w:rPr>
          <w:sz w:val="20"/>
          <w:szCs w:val="20"/>
        </w:rPr>
        <w:t xml:space="preserve">номике // Экономика региона. 2017 г. №3. Том 3. С. 658-671. </w:t>
      </w:r>
    </w:p>
    <w:p w:rsidR="00547222" w:rsidRPr="00547222" w:rsidRDefault="00547222" w:rsidP="00710D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284"/>
        <w:rPr>
          <w:sz w:val="20"/>
          <w:szCs w:val="20"/>
        </w:rPr>
      </w:pPr>
      <w:r>
        <w:rPr>
          <w:color w:val="262626"/>
          <w:sz w:val="20"/>
          <w:szCs w:val="20"/>
        </w:rPr>
        <w:t xml:space="preserve">Мурашов Я. А., </w:t>
      </w:r>
      <w:proofErr w:type="spellStart"/>
      <w:r>
        <w:rPr>
          <w:color w:val="262626"/>
          <w:sz w:val="20"/>
          <w:szCs w:val="20"/>
        </w:rPr>
        <w:t>Ратникова</w:t>
      </w:r>
      <w:proofErr w:type="spellEnd"/>
      <w:r>
        <w:rPr>
          <w:color w:val="262626"/>
          <w:sz w:val="20"/>
          <w:szCs w:val="20"/>
        </w:rPr>
        <w:t xml:space="preserve"> Т. А. Неучтенные доходы российских домашних хозяйств // Вопросы эк</w:t>
      </w:r>
      <w:r>
        <w:rPr>
          <w:color w:val="262626"/>
          <w:sz w:val="20"/>
          <w:szCs w:val="20"/>
        </w:rPr>
        <w:t>о</w:t>
      </w:r>
      <w:r>
        <w:rPr>
          <w:color w:val="262626"/>
          <w:sz w:val="20"/>
          <w:szCs w:val="20"/>
        </w:rPr>
        <w:t>номики . 2016. №5. С. 99-126.</w:t>
      </w:r>
    </w:p>
    <w:p w:rsidR="00547222" w:rsidRPr="00710DE1" w:rsidRDefault="00547222" w:rsidP="00710DE1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284"/>
        <w:jc w:val="both"/>
        <w:rPr>
          <w:color w:val="262626"/>
          <w:sz w:val="20"/>
          <w:szCs w:val="20"/>
        </w:rPr>
      </w:pPr>
      <w:r w:rsidRPr="00710DE1">
        <w:rPr>
          <w:color w:val="262626"/>
          <w:sz w:val="20"/>
          <w:szCs w:val="20"/>
        </w:rPr>
        <w:t xml:space="preserve">Официальный сайт Федеральной службы государственной статистики [Электронный ресурс]. Режим доступа: </w:t>
      </w:r>
      <w:hyperlink r:id="rId9" w:history="1">
        <w:r w:rsidRPr="00710DE1">
          <w:rPr>
            <w:rStyle w:val="ad"/>
            <w:sz w:val="20"/>
            <w:szCs w:val="20"/>
          </w:rPr>
          <w:t>http://www.gks.ru/wps/wcm/connect/rosstat_main/rosstat/ru/statistics/enterprise/investment/nonfinancial</w:t>
        </w:r>
        <w:r w:rsidRPr="00710DE1">
          <w:rPr>
            <w:rStyle w:val="ad"/>
            <w:color w:val="262626"/>
            <w:sz w:val="20"/>
            <w:szCs w:val="20"/>
          </w:rPr>
          <w:t>/</w:t>
        </w:r>
      </w:hyperlink>
      <w:r w:rsidRPr="00710DE1">
        <w:rPr>
          <w:color w:val="262626"/>
          <w:sz w:val="20"/>
          <w:szCs w:val="20"/>
        </w:rPr>
        <w:t xml:space="preserve"> (дата обращения </w:t>
      </w:r>
      <w:r>
        <w:rPr>
          <w:color w:val="262626"/>
          <w:sz w:val="20"/>
          <w:szCs w:val="20"/>
        </w:rPr>
        <w:t>20</w:t>
      </w:r>
      <w:r w:rsidRPr="00710DE1">
        <w:rPr>
          <w:color w:val="262626"/>
          <w:sz w:val="20"/>
          <w:szCs w:val="20"/>
        </w:rPr>
        <w:t>.</w:t>
      </w:r>
      <w:r>
        <w:rPr>
          <w:color w:val="262626"/>
          <w:sz w:val="20"/>
          <w:szCs w:val="20"/>
        </w:rPr>
        <w:t>10</w:t>
      </w:r>
      <w:r w:rsidRPr="00710DE1">
        <w:rPr>
          <w:color w:val="262626"/>
          <w:sz w:val="20"/>
          <w:szCs w:val="20"/>
        </w:rPr>
        <w:t>.201</w:t>
      </w:r>
      <w:r>
        <w:rPr>
          <w:color w:val="262626"/>
          <w:sz w:val="20"/>
          <w:szCs w:val="20"/>
        </w:rPr>
        <w:t>7</w:t>
      </w:r>
      <w:r w:rsidRPr="00710DE1">
        <w:rPr>
          <w:color w:val="262626"/>
          <w:sz w:val="20"/>
          <w:szCs w:val="20"/>
        </w:rPr>
        <w:t>)</w:t>
      </w:r>
    </w:p>
    <w:p w:rsidR="00547222" w:rsidRDefault="00547222" w:rsidP="00A1275F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51"/>
        </w:tabs>
        <w:ind w:left="0" w:firstLine="284"/>
        <w:jc w:val="both"/>
        <w:rPr>
          <w:sz w:val="20"/>
          <w:szCs w:val="20"/>
        </w:rPr>
      </w:pPr>
      <w:r w:rsidRPr="00A1275F">
        <w:rPr>
          <w:color w:val="262626"/>
          <w:sz w:val="20"/>
          <w:szCs w:val="20"/>
        </w:rPr>
        <w:t xml:space="preserve">Россия в цифрах. 2017: </w:t>
      </w:r>
      <w:proofErr w:type="spellStart"/>
      <w:r w:rsidRPr="00A1275F">
        <w:rPr>
          <w:color w:val="262626"/>
          <w:sz w:val="20"/>
          <w:szCs w:val="20"/>
        </w:rPr>
        <w:t>Крат</w:t>
      </w:r>
      <w:proofErr w:type="gramStart"/>
      <w:r w:rsidRPr="00A1275F">
        <w:rPr>
          <w:color w:val="262626"/>
          <w:sz w:val="20"/>
          <w:szCs w:val="20"/>
        </w:rPr>
        <w:t>.с</w:t>
      </w:r>
      <w:proofErr w:type="gramEnd"/>
      <w:r w:rsidRPr="00A1275F">
        <w:rPr>
          <w:color w:val="262626"/>
          <w:sz w:val="20"/>
          <w:szCs w:val="20"/>
        </w:rPr>
        <w:t>тат.сб</w:t>
      </w:r>
      <w:proofErr w:type="spellEnd"/>
      <w:r w:rsidRPr="00A1275F">
        <w:rPr>
          <w:color w:val="262626"/>
          <w:sz w:val="20"/>
          <w:szCs w:val="20"/>
        </w:rPr>
        <w:t xml:space="preserve">./Росстат- M.,  Р76, 2017 - 511 с. </w:t>
      </w:r>
      <w:r w:rsidRPr="00A1275F">
        <w:rPr>
          <w:sz w:val="20"/>
          <w:szCs w:val="20"/>
        </w:rPr>
        <w:t>ISBN 978-5-89476-435-1.</w:t>
      </w:r>
    </w:p>
    <w:sectPr w:rsidR="00547222" w:rsidSect="00FD7E74">
      <w:footerReference w:type="default" r:id="rId10"/>
      <w:pgSz w:w="11906" w:h="16838"/>
      <w:pgMar w:top="1247" w:right="1134" w:bottom="1247" w:left="11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42" w:rsidRDefault="00AA4442" w:rsidP="00FD7E74">
      <w:r>
        <w:separator/>
      </w:r>
    </w:p>
  </w:endnote>
  <w:endnote w:type="continuationSeparator" w:id="0">
    <w:p w:rsidR="00AA4442" w:rsidRDefault="00AA4442" w:rsidP="00FD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74" w:rsidRDefault="00F710A3">
    <w:pPr>
      <w:spacing w:after="1429"/>
      <w:ind w:firstLine="284"/>
      <w:jc w:val="both"/>
    </w:pPr>
    <w:r>
      <w:rPr>
        <w:sz w:val="20"/>
        <w:szCs w:val="20"/>
      </w:rP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42" w:rsidRDefault="00AA4442" w:rsidP="00FD7E74">
      <w:r>
        <w:separator/>
      </w:r>
    </w:p>
  </w:footnote>
  <w:footnote w:type="continuationSeparator" w:id="0">
    <w:p w:rsidR="00AA4442" w:rsidRDefault="00AA4442" w:rsidP="00FD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C61"/>
    <w:multiLevelType w:val="multilevel"/>
    <w:tmpl w:val="EB48AE1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37CE5"/>
    <w:multiLevelType w:val="multilevel"/>
    <w:tmpl w:val="686425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D17DE"/>
    <w:multiLevelType w:val="multilevel"/>
    <w:tmpl w:val="BD505B6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3A69DB"/>
    <w:multiLevelType w:val="multilevel"/>
    <w:tmpl w:val="AB24EDE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2F3CE0"/>
    <w:multiLevelType w:val="multilevel"/>
    <w:tmpl w:val="4F90E01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AB013B"/>
    <w:multiLevelType w:val="hybridMultilevel"/>
    <w:tmpl w:val="91DC0ABE"/>
    <w:lvl w:ilvl="0" w:tplc="61C2BD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E74"/>
    <w:rsid w:val="000E41FE"/>
    <w:rsid w:val="002D2760"/>
    <w:rsid w:val="003D073F"/>
    <w:rsid w:val="005208EE"/>
    <w:rsid w:val="00545919"/>
    <w:rsid w:val="00547222"/>
    <w:rsid w:val="006E26BD"/>
    <w:rsid w:val="00710DE1"/>
    <w:rsid w:val="00A1275F"/>
    <w:rsid w:val="00A21455"/>
    <w:rsid w:val="00AA4442"/>
    <w:rsid w:val="00AF26EB"/>
    <w:rsid w:val="00B75EFB"/>
    <w:rsid w:val="00B86691"/>
    <w:rsid w:val="00C01E94"/>
    <w:rsid w:val="00C472F5"/>
    <w:rsid w:val="00C87CB3"/>
    <w:rsid w:val="00D318A9"/>
    <w:rsid w:val="00DB2A92"/>
    <w:rsid w:val="00E2708F"/>
    <w:rsid w:val="00E90A9E"/>
    <w:rsid w:val="00F710A3"/>
    <w:rsid w:val="00F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D9"/>
  </w:style>
  <w:style w:type="paragraph" w:styleId="1">
    <w:name w:val="heading 1"/>
    <w:basedOn w:val="2"/>
    <w:next w:val="2"/>
    <w:rsid w:val="00FD7E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FD7E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FD7E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FD7E7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2"/>
    <w:next w:val="2"/>
    <w:rsid w:val="00FD7E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2"/>
    <w:next w:val="2"/>
    <w:rsid w:val="00FD7E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D7E74"/>
  </w:style>
  <w:style w:type="table" w:customStyle="1" w:styleId="TableNormal">
    <w:name w:val="Table Normal"/>
    <w:rsid w:val="00FD7E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FD7E7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FD7E74"/>
  </w:style>
  <w:style w:type="table" w:customStyle="1" w:styleId="TableNormal0">
    <w:name w:val="Table Normal"/>
    <w:rsid w:val="00FD7E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C04D72"/>
    <w:pPr>
      <w:ind w:left="720"/>
      <w:contextualSpacing/>
    </w:pPr>
  </w:style>
  <w:style w:type="character" w:styleId="a5">
    <w:name w:val="Emphasis"/>
    <w:basedOn w:val="a0"/>
    <w:uiPriority w:val="20"/>
    <w:qFormat/>
    <w:rsid w:val="00B05A3C"/>
    <w:rPr>
      <w:i/>
      <w:iCs/>
    </w:rPr>
  </w:style>
  <w:style w:type="character" w:customStyle="1" w:styleId="w">
    <w:name w:val="w"/>
    <w:basedOn w:val="a0"/>
    <w:rsid w:val="00B05A3C"/>
  </w:style>
  <w:style w:type="table" w:styleId="a6">
    <w:name w:val="Table Grid"/>
    <w:basedOn w:val="a1"/>
    <w:uiPriority w:val="59"/>
    <w:rsid w:val="00BD16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2A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A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752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752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2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971AFD"/>
    <w:rPr>
      <w:color w:val="0000FF" w:themeColor="hyperlink"/>
      <w:u w:val="single"/>
    </w:rPr>
  </w:style>
  <w:style w:type="paragraph" w:customStyle="1" w:styleId="Default">
    <w:name w:val="Default"/>
    <w:rsid w:val="00971AFD"/>
    <w:pPr>
      <w:autoSpaceDE w:val="0"/>
      <w:autoSpaceDN w:val="0"/>
      <w:adjustRightInd w:val="0"/>
    </w:pPr>
  </w:style>
  <w:style w:type="paragraph" w:styleId="ae">
    <w:name w:val="Normal (Web)"/>
    <w:basedOn w:val="a"/>
    <w:uiPriority w:val="99"/>
    <w:semiHidden/>
    <w:unhideWhenUsed/>
    <w:rsid w:val="00913FE7"/>
    <w:pPr>
      <w:spacing w:before="100" w:beforeAutospacing="1" w:after="100" w:afterAutospacing="1"/>
    </w:pPr>
  </w:style>
  <w:style w:type="paragraph" w:styleId="af">
    <w:name w:val="Subtitle"/>
    <w:basedOn w:val="2"/>
    <w:next w:val="2"/>
    <w:rsid w:val="00FD7E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sPlusNormal">
    <w:name w:val="ConsPlusNormal"/>
    <w:rsid w:val="00D318A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EastAsia" w:hAnsi="Arial" w:cs="Arial"/>
      <w:color w:val="auto"/>
      <w:sz w:val="20"/>
      <w:szCs w:val="20"/>
    </w:rPr>
  </w:style>
  <w:style w:type="character" w:customStyle="1" w:styleId="bigtext">
    <w:name w:val="bigtext"/>
    <w:basedOn w:val="a0"/>
    <w:rsid w:val="00547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ks.ru/wps/wcm/connect/rosstat_main/rosstat/ru/statistics/enterprise/investment/nonfinancial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8;&#1089;&#1089;&#1083;&#1077;&#1076;&#1086;&#1074;&#1072;&#1085;&#1080;&#1103;\&#1059;&#1089;&#1083;&#1091;&#1075;&#1080;%202017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88629468580108"/>
          <c:y val="3.2750795531089602E-2"/>
          <c:w val="0.85986550188689104"/>
          <c:h val="0.66789561703017475"/>
        </c:manualLayout>
      </c:layout>
      <c:lineChart>
        <c:grouping val="standard"/>
        <c:varyColors val="0"/>
        <c:ser>
          <c:idx val="0"/>
          <c:order val="0"/>
          <c:tx>
            <c:strRef>
              <c:f>Лист2!$A$32</c:f>
              <c:strCache>
                <c:ptCount val="1"/>
                <c:pt idx="0">
                  <c:v>Денежные доходы (расходы) всего </c:v>
                </c:pt>
              </c:strCache>
            </c:strRef>
          </c:tx>
          <c:marker>
            <c:symbol val="none"/>
          </c:marker>
          <c:cat>
            <c:numRef>
              <c:f>Лист2!$B$31:$I$31</c:f>
              <c:numCache>
                <c:formatCode>General</c:formatCode>
                <c:ptCount val="8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Лист2!$B$32:$I$32</c:f>
              <c:numCache>
                <c:formatCode>0</c:formatCode>
                <c:ptCount val="8"/>
                <c:pt idx="0">
                  <c:v>3984</c:v>
                </c:pt>
                <c:pt idx="1">
                  <c:v>13819</c:v>
                </c:pt>
                <c:pt idx="2">
                  <c:v>32498</c:v>
                </c:pt>
                <c:pt idx="3">
                  <c:v>39904</c:v>
                </c:pt>
                <c:pt idx="4">
                  <c:v>44650</c:v>
                </c:pt>
                <c:pt idx="5">
                  <c:v>47921</c:v>
                </c:pt>
                <c:pt idx="6">
                  <c:v>53526</c:v>
                </c:pt>
                <c:pt idx="7">
                  <c:v>54102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Лист2!$A$33</c:f>
              <c:strCache>
                <c:ptCount val="1"/>
                <c:pt idx="0">
                  <c:v>Расходы на приобретение товаров и оплату услуг </c:v>
                </c:pt>
              </c:strCache>
            </c:strRef>
          </c:tx>
          <c:marker>
            <c:symbol val="none"/>
          </c:marker>
          <c:cat>
            <c:numRef>
              <c:f>Лист2!$B$31:$I$31</c:f>
              <c:numCache>
                <c:formatCode>General</c:formatCode>
                <c:ptCount val="8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Лист2!$B$33:$I$33</c:f>
              <c:numCache>
                <c:formatCode>0</c:formatCode>
                <c:ptCount val="8"/>
                <c:pt idx="0">
                  <c:v>3009</c:v>
                </c:pt>
                <c:pt idx="1">
                  <c:v>9614</c:v>
                </c:pt>
                <c:pt idx="2">
                  <c:v>22614</c:v>
                </c:pt>
                <c:pt idx="3">
                  <c:v>29611</c:v>
                </c:pt>
                <c:pt idx="4">
                  <c:v>32848</c:v>
                </c:pt>
                <c:pt idx="5">
                  <c:v>36106</c:v>
                </c:pt>
                <c:pt idx="6">
                  <c:v>38004</c:v>
                </c:pt>
                <c:pt idx="7">
                  <c:v>39284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Лист2!$A$34</c:f>
              <c:strCache>
                <c:ptCount val="1"/>
                <c:pt idx="0">
                  <c:v>Прирост финансовых активов </c:v>
                </c:pt>
              </c:strCache>
            </c:strRef>
          </c:tx>
          <c:marker>
            <c:symbol val="none"/>
          </c:marker>
          <c:cat>
            <c:numRef>
              <c:f>Лист2!$B$31:$I$31</c:f>
              <c:numCache>
                <c:formatCode>General</c:formatCode>
                <c:ptCount val="8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Лист2!$B$34:$I$34</c:f>
              <c:numCache>
                <c:formatCode>0</c:formatCode>
                <c:ptCount val="8"/>
                <c:pt idx="0">
                  <c:v>617</c:v>
                </c:pt>
                <c:pt idx="1">
                  <c:v>2463</c:v>
                </c:pt>
                <c:pt idx="2">
                  <c:v>5614</c:v>
                </c:pt>
                <c:pt idx="3">
                  <c:v>4161</c:v>
                </c:pt>
                <c:pt idx="4">
                  <c:v>4838</c:v>
                </c:pt>
                <c:pt idx="5">
                  <c:v>4001</c:v>
                </c:pt>
                <c:pt idx="6">
                  <c:v>8214</c:v>
                </c:pt>
                <c:pt idx="7">
                  <c:v>7185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Лист2!$A$35</c:f>
              <c:strCache>
                <c:ptCount val="1"/>
                <c:pt idx="0">
                  <c:v>Объем платных услуг населению </c:v>
                </c:pt>
              </c:strCache>
            </c:strRef>
          </c:tx>
          <c:marker>
            <c:symbol val="none"/>
          </c:marker>
          <c:cat>
            <c:numRef>
              <c:f>Лист2!$B$31:$I$31</c:f>
              <c:numCache>
                <c:formatCode>General</c:formatCode>
                <c:ptCount val="8"/>
                <c:pt idx="0">
                  <c:v>2000</c:v>
                </c:pt>
                <c:pt idx="1">
                  <c:v>2005</c:v>
                </c:pt>
                <c:pt idx="2">
                  <c:v>2010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</c:numCache>
            </c:numRef>
          </c:cat>
          <c:val>
            <c:numRef>
              <c:f>Лист2!$B$35:$I$35</c:f>
              <c:numCache>
                <c:formatCode>0</c:formatCode>
                <c:ptCount val="8"/>
                <c:pt idx="0">
                  <c:v>6023.7550000000001</c:v>
                </c:pt>
                <c:pt idx="1">
                  <c:v>2271.7330000000002</c:v>
                </c:pt>
                <c:pt idx="2">
                  <c:v>4943.482</c:v>
                </c:pt>
                <c:pt idx="3">
                  <c:v>6036.8390000000009</c:v>
                </c:pt>
                <c:pt idx="4">
                  <c:v>6927.482</c:v>
                </c:pt>
                <c:pt idx="5">
                  <c:v>7467.5210000000034</c:v>
                </c:pt>
                <c:pt idx="6">
                  <c:v>8050.808</c:v>
                </c:pt>
                <c:pt idx="7">
                  <c:v>8377.7630000000008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9696128"/>
        <c:axId val="89697664"/>
      </c:lineChart>
      <c:catAx>
        <c:axId val="89696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9697664"/>
        <c:crosses val="autoZero"/>
        <c:auto val="1"/>
        <c:lblAlgn val="ctr"/>
        <c:lblOffset val="100"/>
        <c:noMultiLvlLbl val="0"/>
      </c:catAx>
      <c:valAx>
        <c:axId val="89697664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89696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384742951907131E-2"/>
          <c:y val="0.81170603674540753"/>
          <c:w val="0.76229961304588367"/>
          <c:h val="0.1877973660372102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user405</cp:lastModifiedBy>
  <cp:revision>8</cp:revision>
  <dcterms:created xsi:type="dcterms:W3CDTF">2017-11-14T04:52:00Z</dcterms:created>
  <dcterms:modified xsi:type="dcterms:W3CDTF">2017-11-14T10:21:00Z</dcterms:modified>
</cp:coreProperties>
</file>