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8A" w:rsidRDefault="00FE1343" w:rsidP="00545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Фенцель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</w:t>
      </w:r>
    </w:p>
    <w:p w:rsidR="00FE1343" w:rsidRDefault="00FE1343" w:rsidP="00545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НБ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</w:p>
    <w:p w:rsidR="00FE1343" w:rsidRDefault="00FE1343" w:rsidP="005459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Тыва,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5976" w:rsidRDefault="00545976" w:rsidP="0043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Тезисы.</w:t>
      </w:r>
    </w:p>
    <w:p w:rsidR="00FE1343" w:rsidRDefault="00FE1343" w:rsidP="0043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343">
        <w:rPr>
          <w:rFonts w:ascii="Times New Roman" w:hAnsi="Times New Roman" w:cs="Times New Roman"/>
          <w:sz w:val="24"/>
          <w:szCs w:val="24"/>
        </w:rPr>
        <w:t>Научно-издательская деятельность Национальной библиотеки им. А.С. Пушкина Республики Тыва как важный компонент научной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343" w:rsidRDefault="00FE1343" w:rsidP="0054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Национальной библиотеке им. А.С. Пушкина научная деятельность осуществляется в различных формах: научно-исследовательской; научно-организационной; научно-методической; научно-образовательной и научно-просветительской; научно-издательской.</w:t>
      </w:r>
    </w:p>
    <w:p w:rsidR="00FE1343" w:rsidRDefault="00FE1343" w:rsidP="0054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развития научной деятельности. Первые «Календарь знаменательных дат» и «Летопись печати».</w:t>
      </w:r>
    </w:p>
    <w:p w:rsidR="00FE1343" w:rsidRDefault="00FE1343" w:rsidP="0054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современном этапе в Национальной библиотеке функционирует Ученый совет, который оказывает содействие развитию всей научной деятельности библиотеки, ее координации с другими научными учреждениями республики, такими, как ТИГИ (Тувинский институт гуманитарных исследований) и Национальный краеведческий музей им. 60-ти богатырей.</w:t>
      </w:r>
    </w:p>
    <w:p w:rsidR="00FE1343" w:rsidRDefault="00FE1343" w:rsidP="0054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всех направлений научной работы</w:t>
      </w:r>
      <w:r w:rsidR="00433E3D">
        <w:rPr>
          <w:rFonts w:ascii="Times New Roman" w:hAnsi="Times New Roman" w:cs="Times New Roman"/>
          <w:sz w:val="24"/>
          <w:szCs w:val="24"/>
        </w:rPr>
        <w:t xml:space="preserve"> важное место</w:t>
      </w:r>
      <w:r>
        <w:rPr>
          <w:rFonts w:ascii="Times New Roman" w:hAnsi="Times New Roman" w:cs="Times New Roman"/>
          <w:sz w:val="24"/>
          <w:szCs w:val="24"/>
        </w:rPr>
        <w:t xml:space="preserve"> занимает научно-издательская деятельность, т.к. результаты всех видов научной деятельности отражаются в изданиях библиотеки.</w:t>
      </w:r>
    </w:p>
    <w:p w:rsidR="00433E3D" w:rsidRDefault="00FE1343" w:rsidP="0043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структуре библиотеки создано несколько структурных подразделений, их деятельность способствует развитию того или иного вида научной деятельности. </w:t>
      </w:r>
      <w:r w:rsidR="00545976">
        <w:rPr>
          <w:rFonts w:ascii="Times New Roman" w:hAnsi="Times New Roman" w:cs="Times New Roman"/>
          <w:sz w:val="24"/>
          <w:szCs w:val="24"/>
        </w:rPr>
        <w:t xml:space="preserve">Это: </w:t>
      </w:r>
      <w:r w:rsidR="00433E3D">
        <w:rPr>
          <w:rFonts w:ascii="Times New Roman" w:hAnsi="Times New Roman" w:cs="Times New Roman"/>
          <w:sz w:val="24"/>
          <w:szCs w:val="24"/>
        </w:rPr>
        <w:t>с</w:t>
      </w:r>
      <w:r w:rsidR="00545976">
        <w:rPr>
          <w:rFonts w:ascii="Times New Roman" w:hAnsi="Times New Roman" w:cs="Times New Roman"/>
          <w:sz w:val="24"/>
          <w:szCs w:val="24"/>
        </w:rPr>
        <w:t>ектор НИР при НМО, редакционно-издательский отдел. Общее руководство осуществляет заместитель директора по науке. Ученый секретарь координирует работу по выпуску совместных с другими научными организациями изданий.</w:t>
      </w:r>
      <w:r w:rsidR="00433E3D">
        <w:rPr>
          <w:rFonts w:ascii="Times New Roman" w:hAnsi="Times New Roman" w:cs="Times New Roman"/>
          <w:sz w:val="24"/>
          <w:szCs w:val="24"/>
        </w:rPr>
        <w:t xml:space="preserve"> </w:t>
      </w:r>
      <w:r w:rsidR="00433E3D">
        <w:rPr>
          <w:rFonts w:ascii="Times New Roman" w:hAnsi="Times New Roman" w:cs="Times New Roman"/>
          <w:sz w:val="24"/>
          <w:szCs w:val="24"/>
        </w:rPr>
        <w:t xml:space="preserve">Национальная библиотека выступила с инициативой о заключении Договора о </w:t>
      </w:r>
      <w:proofErr w:type="spellStart"/>
      <w:r w:rsidR="00433E3D">
        <w:rPr>
          <w:rFonts w:ascii="Times New Roman" w:hAnsi="Times New Roman" w:cs="Times New Roman"/>
          <w:sz w:val="24"/>
          <w:szCs w:val="24"/>
        </w:rPr>
        <w:t>сотрудничесве</w:t>
      </w:r>
      <w:proofErr w:type="spellEnd"/>
      <w:r w:rsidR="00433E3D">
        <w:rPr>
          <w:rFonts w:ascii="Times New Roman" w:hAnsi="Times New Roman" w:cs="Times New Roman"/>
          <w:sz w:val="24"/>
          <w:szCs w:val="24"/>
        </w:rPr>
        <w:t xml:space="preserve"> с ТИГИ и Национальным музеем. Начиная с 2013 года, совместными усилиями выпускается Календарь знаменательных дат, теперь он называется «Календарь-хронограф».</w:t>
      </w:r>
    </w:p>
    <w:p w:rsidR="00433E3D" w:rsidRDefault="00433E3D" w:rsidP="0043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Такое сотрудничество значительно повлияло на качество календаря, в нем стало больше статей ученых. Выпускаться стал через типографию, соответственно, улучшился дизайн.</w:t>
      </w:r>
    </w:p>
    <w:p w:rsidR="00545976" w:rsidRDefault="00545976" w:rsidP="0054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имеет свой небольшой редакционно-издательский комплекс, поэтому мы имеем возможность выпускать различную продукцию, в основном, научно-методическую, учебную, краеведческие указатели, календарь знаменательных дат, другие издания.</w:t>
      </w:r>
    </w:p>
    <w:p w:rsidR="00545976" w:rsidRDefault="00545976" w:rsidP="0054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посвящены проблемам библиотечного дела Тувы: выявлению и хранению книжных памятников, обслуживанию читателей, методике проведения мероприятий и внедрению новых инновационных форм работы в практику публичных библиотек.</w:t>
      </w:r>
      <w:r w:rsidR="00433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E3D" w:rsidRDefault="00433E3D" w:rsidP="0054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Краеведческие указатели приобрели большую актуальность, стали более приближенными к социально-культурной жизни республики. В 2014 г. указатели были посвящены 100-летнему юбилею республики. Также вышел указатель «Библиотечное дело Тувы 1914-2014 г.». Такого большого издания в области библиотечного дела не издавалось за всю историю библиотеки. </w:t>
      </w:r>
    </w:p>
    <w:p w:rsidR="00545976" w:rsidRDefault="00545976" w:rsidP="0054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дальнейшем, автором дается характеристика наиболее важных изданий библиотеки за последние 20 лет, т.к. именно в эти годы сформировались формы и методы научной деятельности,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научно-издательской.</w:t>
      </w:r>
    </w:p>
    <w:p w:rsidR="00545976" w:rsidRDefault="00545976" w:rsidP="0054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Одновременно, Национальная библиотека осваивает новое для себя направление – издание электронных коллекций. Так, были выпущены 2 коллекции «Тува и Россия: от единения к единству» и «Старообрядцы Тувы».</w:t>
      </w:r>
    </w:p>
    <w:p w:rsidR="00FE1343" w:rsidRPr="00FE1343" w:rsidRDefault="00545976" w:rsidP="00433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Научно-издательская деятельность библиотеки направлена на сохранение через библиотечную продукцию народных традиций, культурной памяти населения Тувы.</w:t>
      </w:r>
    </w:p>
    <w:sectPr w:rsidR="00FE1343" w:rsidRPr="00FE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43"/>
    <w:rsid w:val="00125D8A"/>
    <w:rsid w:val="00433E3D"/>
    <w:rsid w:val="00545976"/>
    <w:rsid w:val="00660B18"/>
    <w:rsid w:val="00F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FD73C-5797-43E3-AE54-2B3C42C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2015-05-25T07:16:00Z</dcterms:created>
  <dcterms:modified xsi:type="dcterms:W3CDTF">2015-05-25T08:56:00Z</dcterms:modified>
</cp:coreProperties>
</file>