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31" w:rsidRPr="008C1831" w:rsidRDefault="008C1831" w:rsidP="008C1831">
      <w:pPr>
        <w:spacing w:after="0" w:line="240" w:lineRule="auto"/>
        <w:ind w:firstLine="567"/>
        <w:rPr>
          <w:rFonts w:ascii="Times New Roman" w:hAnsi="Times New Roman" w:cs="Times New Roman"/>
          <w:bdr w:val="none" w:sz="0" w:space="0" w:color="auto" w:frame="1"/>
        </w:rPr>
      </w:pPr>
      <w:r w:rsidRPr="008C1831">
        <w:rPr>
          <w:rFonts w:ascii="Times New Roman" w:hAnsi="Times New Roman" w:cs="Times New Roman"/>
          <w:bdr w:val="none" w:sz="0" w:space="0" w:color="auto" w:frame="1"/>
        </w:rPr>
        <w:t>УДК</w:t>
      </w:r>
      <w:r w:rsidR="002A4BD8" w:rsidRPr="002A4BD8">
        <w:rPr>
          <w:rFonts w:ascii="Times New Roman" w:hAnsi="Times New Roman" w:cs="Times New Roman"/>
          <w:caps/>
          <w:sz w:val="24"/>
          <w:szCs w:val="24"/>
        </w:rPr>
        <w:t>541.183</w:t>
      </w:r>
    </w:p>
    <w:p w:rsidR="008C1831" w:rsidRDefault="008C1831" w:rsidP="008C1831">
      <w:pPr>
        <w:spacing w:after="0" w:line="240" w:lineRule="auto"/>
        <w:ind w:firstLine="567"/>
        <w:rPr>
          <w:rFonts w:ascii="Times New Roman" w:hAnsi="Times New Roman" w:cs="Times New Roman"/>
          <w:b/>
          <w:sz w:val="24"/>
          <w:szCs w:val="24"/>
          <w:bdr w:val="none" w:sz="0" w:space="0" w:color="auto" w:frame="1"/>
        </w:rPr>
      </w:pPr>
    </w:p>
    <w:p w:rsidR="008C1831" w:rsidRPr="008339BF" w:rsidRDefault="008339BF" w:rsidP="008C1831">
      <w:pPr>
        <w:spacing w:after="120" w:line="240" w:lineRule="auto"/>
        <w:ind w:firstLine="567"/>
        <w:jc w:val="center"/>
        <w:rPr>
          <w:rFonts w:ascii="Times New Roman" w:hAnsi="Times New Roman" w:cs="Times New Roman"/>
          <w:b/>
          <w:sz w:val="24"/>
          <w:szCs w:val="24"/>
          <w:bdr w:val="none" w:sz="0" w:space="0" w:color="auto" w:frame="1"/>
        </w:rPr>
      </w:pPr>
      <w:proofErr w:type="gramStart"/>
      <w:r w:rsidRPr="008339BF">
        <w:rPr>
          <w:rFonts w:ascii="Times New Roman" w:hAnsi="Times New Roman" w:cs="Times New Roman"/>
          <w:b/>
          <w:sz w:val="24"/>
          <w:szCs w:val="24"/>
          <w:bdr w:val="none" w:sz="0" w:space="0" w:color="auto" w:frame="1"/>
        </w:rPr>
        <w:t>ТЕСТ-ИНДИКАТОРНАЯ</w:t>
      </w:r>
      <w:proofErr w:type="gramEnd"/>
      <w:r w:rsidRPr="008339BF">
        <w:rPr>
          <w:rFonts w:ascii="Times New Roman" w:hAnsi="Times New Roman" w:cs="Times New Roman"/>
          <w:b/>
          <w:sz w:val="24"/>
          <w:szCs w:val="24"/>
          <w:bdr w:val="none" w:sz="0" w:space="0" w:color="auto" w:frame="1"/>
        </w:rPr>
        <w:t xml:space="preserve"> СИСТЕМА ДЛЯ ОПРЕДЕЛЕНИЯ МАРГАНЦА(</w:t>
      </w:r>
      <w:r w:rsidRPr="008339BF">
        <w:rPr>
          <w:rFonts w:ascii="Times New Roman" w:hAnsi="Times New Roman" w:cs="Times New Roman"/>
          <w:b/>
          <w:sz w:val="24"/>
          <w:szCs w:val="24"/>
          <w:bdr w:val="none" w:sz="0" w:space="0" w:color="auto" w:frame="1"/>
          <w:lang w:val="en-US"/>
        </w:rPr>
        <w:t>II</w:t>
      </w:r>
      <w:r w:rsidRPr="008339BF">
        <w:rPr>
          <w:rFonts w:ascii="Times New Roman" w:hAnsi="Times New Roman" w:cs="Times New Roman"/>
          <w:b/>
          <w:sz w:val="24"/>
          <w:szCs w:val="24"/>
          <w:bdr w:val="none" w:sz="0" w:space="0" w:color="auto" w:frame="1"/>
        </w:rPr>
        <w:t>) В ПРИРОДНЫХ ВОДАХ</w:t>
      </w:r>
      <w:bookmarkStart w:id="0" w:name="_GoBack"/>
      <w:bookmarkEnd w:id="0"/>
    </w:p>
    <w:p w:rsidR="00861F5B" w:rsidRPr="008C1831" w:rsidRDefault="008C1831" w:rsidP="00AB572E">
      <w:pPr>
        <w:spacing w:after="120" w:line="240" w:lineRule="auto"/>
        <w:ind w:firstLine="567"/>
        <w:jc w:val="center"/>
        <w:rPr>
          <w:rFonts w:ascii="Times New Roman" w:hAnsi="Times New Roman" w:cs="Times New Roman"/>
          <w:i/>
          <w:sz w:val="24"/>
          <w:szCs w:val="24"/>
          <w:bdr w:val="none" w:sz="0" w:space="0" w:color="auto" w:frame="1"/>
        </w:rPr>
      </w:pPr>
      <w:proofErr w:type="spellStart"/>
      <w:r w:rsidRPr="008C1831">
        <w:rPr>
          <w:rFonts w:ascii="Times New Roman" w:hAnsi="Times New Roman" w:cs="Times New Roman"/>
          <w:i/>
          <w:sz w:val="24"/>
          <w:szCs w:val="24"/>
          <w:bdr w:val="none" w:sz="0" w:space="0" w:color="auto" w:frame="1"/>
        </w:rPr>
        <w:t>В.В.</w:t>
      </w:r>
      <w:r w:rsidR="00861F5B" w:rsidRPr="008C1831">
        <w:rPr>
          <w:rFonts w:ascii="Times New Roman" w:hAnsi="Times New Roman" w:cs="Times New Roman"/>
          <w:i/>
          <w:sz w:val="24"/>
          <w:szCs w:val="24"/>
          <w:bdr w:val="none" w:sz="0" w:space="0" w:color="auto" w:frame="1"/>
        </w:rPr>
        <w:t>Жаркова</w:t>
      </w:r>
      <w:proofErr w:type="spellEnd"/>
      <w:r w:rsidR="00861F5B" w:rsidRPr="008C1831">
        <w:rPr>
          <w:rFonts w:ascii="Times New Roman" w:hAnsi="Times New Roman" w:cs="Times New Roman"/>
          <w:i/>
          <w:sz w:val="24"/>
          <w:szCs w:val="24"/>
          <w:bdr w:val="none" w:sz="0" w:space="0" w:color="auto" w:frame="1"/>
        </w:rPr>
        <w:t xml:space="preserve">, </w:t>
      </w:r>
      <w:proofErr w:type="spellStart"/>
      <w:r w:rsidRPr="008C1831">
        <w:rPr>
          <w:rFonts w:ascii="Times New Roman" w:hAnsi="Times New Roman" w:cs="Times New Roman"/>
          <w:i/>
          <w:sz w:val="24"/>
          <w:szCs w:val="24"/>
          <w:bdr w:val="none" w:sz="0" w:space="0" w:color="auto" w:frame="1"/>
        </w:rPr>
        <w:t>Л.А</w:t>
      </w:r>
      <w:r>
        <w:rPr>
          <w:rFonts w:ascii="Times New Roman" w:hAnsi="Times New Roman" w:cs="Times New Roman"/>
          <w:i/>
          <w:sz w:val="24"/>
          <w:szCs w:val="24"/>
          <w:bdr w:val="none" w:sz="0" w:space="0" w:color="auto" w:frame="1"/>
        </w:rPr>
        <w:t>.</w:t>
      </w:r>
      <w:r w:rsidR="00861F5B" w:rsidRPr="008C1831">
        <w:rPr>
          <w:rFonts w:ascii="Times New Roman" w:hAnsi="Times New Roman" w:cs="Times New Roman"/>
          <w:i/>
          <w:sz w:val="24"/>
          <w:szCs w:val="24"/>
          <w:bdr w:val="none" w:sz="0" w:space="0" w:color="auto" w:frame="1"/>
        </w:rPr>
        <w:t>Бобкова</w:t>
      </w:r>
      <w:proofErr w:type="spellEnd"/>
    </w:p>
    <w:p w:rsidR="00861F5B" w:rsidRPr="008C1831" w:rsidRDefault="00861F5B" w:rsidP="00861F5B">
      <w:pPr>
        <w:spacing w:after="0" w:line="240" w:lineRule="auto"/>
        <w:ind w:firstLine="567"/>
        <w:jc w:val="center"/>
        <w:rPr>
          <w:rFonts w:ascii="Times New Roman" w:hAnsi="Times New Roman" w:cs="Times New Roman"/>
          <w:sz w:val="24"/>
          <w:szCs w:val="24"/>
          <w:bdr w:val="none" w:sz="0" w:space="0" w:color="auto" w:frame="1"/>
        </w:rPr>
      </w:pPr>
      <w:r w:rsidRPr="008C1831">
        <w:rPr>
          <w:rFonts w:ascii="Times New Roman" w:hAnsi="Times New Roman" w:cs="Times New Roman"/>
          <w:sz w:val="24"/>
          <w:szCs w:val="24"/>
          <w:bdr w:val="none" w:sz="0" w:space="0" w:color="auto" w:frame="1"/>
        </w:rPr>
        <w:t xml:space="preserve">Национальный исследовательский Томский государственный университет, </w:t>
      </w:r>
    </w:p>
    <w:p w:rsidR="00861F5B" w:rsidRPr="008C1831" w:rsidRDefault="008C1831" w:rsidP="00861F5B">
      <w:pPr>
        <w:spacing w:after="0" w:line="240" w:lineRule="auto"/>
        <w:ind w:firstLine="567"/>
        <w:jc w:val="center"/>
        <w:rPr>
          <w:rFonts w:ascii="Times New Roman" w:hAnsi="Times New Roman" w:cs="Times New Roman"/>
          <w:sz w:val="24"/>
          <w:szCs w:val="24"/>
          <w:bdr w:val="none" w:sz="0" w:space="0" w:color="auto" w:frame="1"/>
        </w:rPr>
      </w:pPr>
      <w:r w:rsidRPr="008C1831">
        <w:rPr>
          <w:rFonts w:ascii="Times New Roman" w:hAnsi="Times New Roman" w:cs="Times New Roman"/>
          <w:sz w:val="24"/>
          <w:szCs w:val="24"/>
          <w:bdr w:val="none" w:sz="0" w:space="0" w:color="auto" w:frame="1"/>
        </w:rPr>
        <w:t xml:space="preserve">г. </w:t>
      </w:r>
      <w:r w:rsidR="00861F5B" w:rsidRPr="008C1831">
        <w:rPr>
          <w:rFonts w:ascii="Times New Roman" w:hAnsi="Times New Roman" w:cs="Times New Roman"/>
          <w:sz w:val="24"/>
          <w:szCs w:val="24"/>
          <w:bdr w:val="none" w:sz="0" w:space="0" w:color="auto" w:frame="1"/>
        </w:rPr>
        <w:t>Томск, Россия</w:t>
      </w:r>
    </w:p>
    <w:p w:rsidR="008C1831" w:rsidRDefault="008C1831" w:rsidP="00861F5B">
      <w:pPr>
        <w:spacing w:after="0" w:line="240" w:lineRule="auto"/>
        <w:ind w:firstLine="567"/>
        <w:jc w:val="center"/>
        <w:rPr>
          <w:rFonts w:ascii="Times New Roman" w:hAnsi="Times New Roman" w:cs="Times New Roman"/>
          <w:sz w:val="24"/>
          <w:szCs w:val="24"/>
          <w:bdr w:val="none" w:sz="0" w:space="0" w:color="auto" w:frame="1"/>
        </w:rPr>
      </w:pPr>
    </w:p>
    <w:p w:rsidR="001775A0" w:rsidRDefault="00861F5B" w:rsidP="00AB572E">
      <w:pPr>
        <w:spacing w:after="0" w:line="240" w:lineRule="auto"/>
        <w:ind w:firstLine="426"/>
        <w:jc w:val="both"/>
        <w:rPr>
          <w:rFonts w:ascii="Times New Roman" w:hAnsi="Times New Roman" w:cs="Times New Roman"/>
          <w:sz w:val="24"/>
          <w:szCs w:val="24"/>
        </w:rPr>
      </w:pPr>
      <w:r w:rsidRPr="00861F5B">
        <w:rPr>
          <w:rFonts w:ascii="Times New Roman" w:hAnsi="Times New Roman" w:cs="Times New Roman"/>
          <w:b/>
          <w:sz w:val="24"/>
          <w:szCs w:val="24"/>
          <w:bdr w:val="none" w:sz="0" w:space="0" w:color="auto" w:frame="1"/>
        </w:rPr>
        <w:t xml:space="preserve">Аннотация. </w:t>
      </w:r>
      <w:r w:rsidR="00F741BA">
        <w:rPr>
          <w:rFonts w:ascii="Times New Roman" w:hAnsi="Times New Roman" w:cs="Times New Roman"/>
          <w:sz w:val="24"/>
          <w:szCs w:val="24"/>
        </w:rPr>
        <w:t>Исследована избирательность</w:t>
      </w:r>
      <w:r w:rsidR="00F741BA" w:rsidRPr="00F741BA">
        <w:rPr>
          <w:rFonts w:ascii="Times New Roman" w:hAnsi="Times New Roman" w:cs="Times New Roman"/>
          <w:sz w:val="24"/>
          <w:szCs w:val="24"/>
        </w:rPr>
        <w:t xml:space="preserve"> сорбц</w:t>
      </w:r>
      <w:proofErr w:type="gramStart"/>
      <w:r w:rsidR="00F741BA" w:rsidRPr="00F741BA">
        <w:rPr>
          <w:rFonts w:ascii="Times New Roman" w:hAnsi="Times New Roman" w:cs="Times New Roman"/>
          <w:sz w:val="24"/>
          <w:szCs w:val="24"/>
        </w:rPr>
        <w:t>ии ио</w:t>
      </w:r>
      <w:proofErr w:type="gramEnd"/>
      <w:r w:rsidR="00F741BA" w:rsidRPr="00F741BA">
        <w:rPr>
          <w:rFonts w:ascii="Times New Roman" w:hAnsi="Times New Roman" w:cs="Times New Roman"/>
          <w:sz w:val="24"/>
          <w:szCs w:val="24"/>
        </w:rPr>
        <w:t>нов марганца(</w:t>
      </w:r>
      <w:r w:rsidR="00F741BA" w:rsidRPr="00F741BA">
        <w:rPr>
          <w:rFonts w:ascii="Times New Roman" w:hAnsi="Times New Roman" w:cs="Times New Roman"/>
          <w:sz w:val="24"/>
          <w:szCs w:val="24"/>
          <w:lang w:val="en-US"/>
        </w:rPr>
        <w:t>II</w:t>
      </w:r>
      <w:r w:rsidR="00F741BA" w:rsidRPr="00F741BA">
        <w:rPr>
          <w:rFonts w:ascii="Times New Roman" w:hAnsi="Times New Roman" w:cs="Times New Roman"/>
          <w:sz w:val="24"/>
          <w:szCs w:val="24"/>
        </w:rPr>
        <w:t xml:space="preserve">) карбоксильными катионитами </w:t>
      </w:r>
      <w:r w:rsidR="0053059F">
        <w:rPr>
          <w:rFonts w:ascii="Times New Roman" w:hAnsi="Times New Roman" w:cs="Times New Roman"/>
          <w:sz w:val="24"/>
          <w:szCs w:val="24"/>
        </w:rPr>
        <w:t xml:space="preserve">макросетчатой </w:t>
      </w:r>
      <w:r w:rsidR="00F741BA" w:rsidRPr="00F741BA">
        <w:rPr>
          <w:rFonts w:ascii="Times New Roman" w:hAnsi="Times New Roman" w:cs="Times New Roman"/>
          <w:sz w:val="24"/>
          <w:szCs w:val="24"/>
        </w:rPr>
        <w:t xml:space="preserve">КБ-2Э-16 и </w:t>
      </w:r>
      <w:r w:rsidR="0053059F">
        <w:rPr>
          <w:rFonts w:ascii="Times New Roman" w:hAnsi="Times New Roman" w:cs="Times New Roman"/>
          <w:sz w:val="24"/>
          <w:szCs w:val="24"/>
        </w:rPr>
        <w:t xml:space="preserve">гелевой </w:t>
      </w:r>
      <w:r w:rsidR="00F741BA" w:rsidRPr="00F741BA">
        <w:rPr>
          <w:rFonts w:ascii="Times New Roman" w:hAnsi="Times New Roman" w:cs="Times New Roman"/>
          <w:sz w:val="24"/>
          <w:szCs w:val="24"/>
        </w:rPr>
        <w:t xml:space="preserve">Токем-250 </w:t>
      </w:r>
      <w:r w:rsidR="0053059F">
        <w:rPr>
          <w:rFonts w:ascii="Times New Roman" w:hAnsi="Times New Roman" w:cs="Times New Roman"/>
          <w:sz w:val="24"/>
          <w:szCs w:val="24"/>
        </w:rPr>
        <w:t xml:space="preserve">структуры </w:t>
      </w:r>
      <w:r w:rsidR="00F741BA" w:rsidRPr="00F741BA">
        <w:rPr>
          <w:rFonts w:ascii="Times New Roman" w:hAnsi="Times New Roman" w:cs="Times New Roman"/>
          <w:sz w:val="24"/>
          <w:szCs w:val="24"/>
        </w:rPr>
        <w:t>в равновесных и динамических условиях</w:t>
      </w:r>
      <w:r w:rsidR="00F741BA">
        <w:rPr>
          <w:rFonts w:ascii="Times New Roman" w:hAnsi="Times New Roman" w:cs="Times New Roman"/>
          <w:sz w:val="24"/>
          <w:szCs w:val="24"/>
        </w:rPr>
        <w:t xml:space="preserve">. </w:t>
      </w:r>
      <w:r w:rsidR="0053059F">
        <w:rPr>
          <w:rFonts w:ascii="Times New Roman" w:hAnsi="Times New Roman" w:cs="Times New Roman"/>
          <w:sz w:val="24"/>
          <w:szCs w:val="24"/>
        </w:rPr>
        <w:t xml:space="preserve">Коэффициенты распределения </w:t>
      </w:r>
      <w:proofErr w:type="spellStart"/>
      <w:r w:rsidR="0053059F">
        <w:rPr>
          <w:rFonts w:ascii="Times New Roman" w:hAnsi="Times New Roman" w:cs="Times New Roman"/>
          <w:sz w:val="24"/>
          <w:szCs w:val="24"/>
          <w:lang w:val="en-US"/>
        </w:rPr>
        <w:t>Mn</w:t>
      </w:r>
      <w:proofErr w:type="spellEnd"/>
      <w:r w:rsidR="0053059F" w:rsidRPr="0053059F">
        <w:rPr>
          <w:rFonts w:ascii="Times New Roman" w:hAnsi="Times New Roman" w:cs="Times New Roman"/>
          <w:sz w:val="24"/>
          <w:szCs w:val="24"/>
          <w:vertAlign w:val="superscript"/>
        </w:rPr>
        <w:t>2+</w:t>
      </w:r>
      <w:r w:rsidR="0053059F">
        <w:rPr>
          <w:rFonts w:ascii="Times New Roman" w:hAnsi="Times New Roman" w:cs="Times New Roman"/>
          <w:sz w:val="24"/>
          <w:szCs w:val="24"/>
        </w:rPr>
        <w:t xml:space="preserve"> составляют</w:t>
      </w:r>
      <w:r w:rsidR="0053059F" w:rsidRPr="00F741BA">
        <w:rPr>
          <w:rFonts w:ascii="Times New Roman" w:hAnsi="Times New Roman" w:cs="Times New Roman"/>
          <w:sz w:val="24"/>
          <w:szCs w:val="24"/>
        </w:rPr>
        <w:t xml:space="preserve"> </w:t>
      </w:r>
      <w:r w:rsidR="0053059F" w:rsidRPr="00262C6C">
        <w:rPr>
          <w:rFonts w:ascii="Times New Roman" w:eastAsia="ArialMT" w:hAnsi="Times New Roman" w:cs="Times New Roman"/>
          <w:sz w:val="24"/>
          <w:szCs w:val="24"/>
        </w:rPr>
        <w:t>для</w:t>
      </w:r>
      <w:r w:rsidR="0053059F">
        <w:rPr>
          <w:rFonts w:ascii="Times New Roman" w:eastAsia="ArialMT" w:hAnsi="Times New Roman" w:cs="Times New Roman"/>
          <w:sz w:val="24"/>
          <w:szCs w:val="24"/>
        </w:rPr>
        <w:t xml:space="preserve"> </w:t>
      </w:r>
      <w:r w:rsidR="001775A0">
        <w:rPr>
          <w:rFonts w:ascii="Times New Roman" w:eastAsia="ArialMT" w:hAnsi="Times New Roman" w:cs="Times New Roman"/>
          <w:sz w:val="24"/>
          <w:szCs w:val="24"/>
        </w:rPr>
        <w:t xml:space="preserve">катионитов </w:t>
      </w:r>
      <w:r w:rsidR="0053059F">
        <w:rPr>
          <w:rFonts w:ascii="Times New Roman" w:eastAsia="ArialMT" w:hAnsi="Times New Roman" w:cs="Times New Roman"/>
          <w:sz w:val="24"/>
          <w:szCs w:val="24"/>
        </w:rPr>
        <w:t>КБ-2Э-16</w:t>
      </w:r>
      <w:r w:rsidR="0053059F">
        <w:rPr>
          <w:rFonts w:ascii="Times New Roman" w:hAnsi="Times New Roman" w:cs="Times New Roman"/>
          <w:sz w:val="24"/>
          <w:szCs w:val="24"/>
        </w:rPr>
        <w:t xml:space="preserve"> </w:t>
      </w:r>
      <w:r w:rsidR="0053059F" w:rsidRPr="00D215C8">
        <w:rPr>
          <w:rFonts w:ascii="Times New Roman" w:hAnsi="Times New Roman" w:cs="Times New Roman"/>
          <w:sz w:val="24"/>
          <w:szCs w:val="24"/>
        </w:rPr>
        <w:t>~ (3,4 – 1,7)∙10</w:t>
      </w:r>
      <w:r w:rsidR="0053059F" w:rsidRPr="00D215C8">
        <w:rPr>
          <w:rFonts w:ascii="Times New Roman" w:hAnsi="Times New Roman" w:cs="Times New Roman"/>
          <w:sz w:val="24"/>
          <w:szCs w:val="24"/>
          <w:vertAlign w:val="superscript"/>
        </w:rPr>
        <w:t>3</w:t>
      </w:r>
      <w:r w:rsidR="0053059F" w:rsidRPr="00D215C8">
        <w:rPr>
          <w:rFonts w:ascii="Times New Roman" w:hAnsi="Times New Roman" w:cs="Times New Roman"/>
          <w:sz w:val="24"/>
          <w:szCs w:val="24"/>
        </w:rPr>
        <w:t xml:space="preserve"> </w:t>
      </w:r>
      <w:r w:rsidR="0053059F">
        <w:rPr>
          <w:rFonts w:ascii="Times New Roman" w:hAnsi="Times New Roman" w:cs="Times New Roman"/>
          <w:sz w:val="24"/>
          <w:szCs w:val="24"/>
        </w:rPr>
        <w:t>~ (2,02 – 0,61)∙</w:t>
      </w:r>
      <w:r w:rsidR="0053059F" w:rsidRPr="00262C6C">
        <w:rPr>
          <w:rFonts w:ascii="Times New Roman" w:hAnsi="Times New Roman" w:cs="Times New Roman"/>
          <w:sz w:val="24"/>
          <w:szCs w:val="24"/>
        </w:rPr>
        <w:t>10</w:t>
      </w:r>
      <w:r w:rsidR="0053059F" w:rsidRPr="00262C6C">
        <w:rPr>
          <w:rFonts w:ascii="Times New Roman" w:hAnsi="Times New Roman" w:cs="Times New Roman"/>
          <w:sz w:val="24"/>
          <w:szCs w:val="24"/>
          <w:vertAlign w:val="superscript"/>
        </w:rPr>
        <w:t>3</w:t>
      </w:r>
      <w:r w:rsidR="001775A0">
        <w:rPr>
          <w:rFonts w:ascii="Times New Roman" w:hAnsi="Times New Roman" w:cs="Times New Roman"/>
          <w:sz w:val="24"/>
          <w:szCs w:val="24"/>
        </w:rPr>
        <w:t>,</w:t>
      </w:r>
      <w:r w:rsidR="0053059F">
        <w:rPr>
          <w:rFonts w:ascii="Times New Roman" w:hAnsi="Times New Roman" w:cs="Times New Roman"/>
          <w:sz w:val="24"/>
          <w:szCs w:val="24"/>
        </w:rPr>
        <w:t xml:space="preserve"> </w:t>
      </w:r>
      <w:r w:rsidR="0053059F" w:rsidRPr="00D215C8">
        <w:rPr>
          <w:rFonts w:ascii="Times New Roman" w:hAnsi="Times New Roman" w:cs="Times New Roman"/>
          <w:sz w:val="24"/>
          <w:szCs w:val="24"/>
        </w:rPr>
        <w:t>Токем-250~ (2,02 – 0,61)∙10</w:t>
      </w:r>
      <w:r w:rsidR="0053059F" w:rsidRPr="00D215C8">
        <w:rPr>
          <w:rFonts w:ascii="Times New Roman" w:hAnsi="Times New Roman" w:cs="Times New Roman"/>
          <w:sz w:val="24"/>
          <w:szCs w:val="24"/>
          <w:vertAlign w:val="superscript"/>
        </w:rPr>
        <w:t>3</w:t>
      </w:r>
      <w:r w:rsidR="0053059F" w:rsidRPr="00D215C8">
        <w:rPr>
          <w:rFonts w:ascii="Times New Roman" w:hAnsi="Times New Roman" w:cs="Times New Roman"/>
          <w:sz w:val="24"/>
          <w:szCs w:val="24"/>
        </w:rPr>
        <w:t>.</w:t>
      </w:r>
      <w:r w:rsidR="0053059F">
        <w:rPr>
          <w:rFonts w:ascii="Times New Roman" w:hAnsi="Times New Roman" w:cs="Times New Roman"/>
          <w:sz w:val="24"/>
          <w:szCs w:val="24"/>
        </w:rPr>
        <w:t xml:space="preserve"> </w:t>
      </w:r>
      <w:r w:rsidR="001775A0">
        <w:rPr>
          <w:rFonts w:ascii="Times New Roman" w:hAnsi="Times New Roman" w:cs="Times New Roman"/>
          <w:sz w:val="24"/>
          <w:szCs w:val="24"/>
        </w:rPr>
        <w:t xml:space="preserve">Показано, что в динамических условиях при сорбции </w:t>
      </w:r>
      <w:r w:rsidR="001775A0">
        <w:rPr>
          <w:rFonts w:ascii="Times New Roman" w:eastAsia="Calibri" w:hAnsi="Times New Roman" w:cs="Times New Roman"/>
          <w:sz w:val="24"/>
          <w:szCs w:val="24"/>
        </w:rPr>
        <w:t>марганца</w:t>
      </w:r>
      <w:r w:rsidR="001775A0" w:rsidRPr="00D81910">
        <w:rPr>
          <w:rFonts w:ascii="Times New Roman" w:eastAsia="Calibri" w:hAnsi="Times New Roman" w:cs="Times New Roman"/>
          <w:sz w:val="24"/>
          <w:szCs w:val="24"/>
        </w:rPr>
        <w:t>(</w:t>
      </w:r>
      <w:r w:rsidR="001775A0">
        <w:rPr>
          <w:rFonts w:ascii="Times New Roman" w:eastAsia="Calibri" w:hAnsi="Times New Roman" w:cs="Times New Roman"/>
          <w:sz w:val="24"/>
          <w:szCs w:val="24"/>
          <w:lang w:val="en-US"/>
        </w:rPr>
        <w:t>II</w:t>
      </w:r>
      <w:r w:rsidR="001775A0" w:rsidRPr="00D81910">
        <w:rPr>
          <w:rFonts w:ascii="Times New Roman" w:eastAsia="Calibri" w:hAnsi="Times New Roman" w:cs="Times New Roman"/>
          <w:sz w:val="24"/>
          <w:szCs w:val="24"/>
        </w:rPr>
        <w:t>)</w:t>
      </w:r>
      <w:r w:rsidR="001775A0" w:rsidRPr="00725B4B">
        <w:rPr>
          <w:rFonts w:ascii="Times New Roman" w:eastAsia="Calibri" w:hAnsi="Times New Roman" w:cs="Times New Roman"/>
          <w:sz w:val="24"/>
          <w:szCs w:val="24"/>
        </w:rPr>
        <w:t xml:space="preserve"> </w:t>
      </w:r>
      <w:r w:rsidR="001775A0">
        <w:rPr>
          <w:rFonts w:ascii="Times New Roman" w:hAnsi="Times New Roman" w:cs="Times New Roman"/>
          <w:sz w:val="24"/>
          <w:szCs w:val="24"/>
        </w:rPr>
        <w:t xml:space="preserve">катионитом КБ-2Э-16 формируется </w:t>
      </w:r>
      <w:r w:rsidR="001775A0">
        <w:rPr>
          <w:rFonts w:ascii="Times New Roman" w:eastAsia="Calibri" w:hAnsi="Times New Roman" w:cs="Times New Roman"/>
          <w:sz w:val="24"/>
          <w:szCs w:val="24"/>
        </w:rPr>
        <w:t xml:space="preserve">более узкий хроматографический фронт ионов по сравнению с Токем-250. Вероятно, пористая </w:t>
      </w:r>
      <w:proofErr w:type="spellStart"/>
      <w:r w:rsidR="001775A0">
        <w:rPr>
          <w:rFonts w:ascii="Times New Roman" w:hAnsi="Times New Roman" w:cs="Times New Roman"/>
          <w:sz w:val="24"/>
          <w:szCs w:val="24"/>
        </w:rPr>
        <w:t>макросетчатая</w:t>
      </w:r>
      <w:proofErr w:type="spellEnd"/>
      <w:r w:rsidR="001775A0">
        <w:rPr>
          <w:rFonts w:ascii="Times New Roman" w:hAnsi="Times New Roman" w:cs="Times New Roman"/>
          <w:sz w:val="24"/>
          <w:szCs w:val="24"/>
        </w:rPr>
        <w:t xml:space="preserve"> </w:t>
      </w:r>
      <w:r w:rsidR="001775A0">
        <w:rPr>
          <w:rFonts w:ascii="Times New Roman" w:eastAsia="Calibri" w:hAnsi="Times New Roman" w:cs="Times New Roman"/>
          <w:sz w:val="24"/>
          <w:szCs w:val="24"/>
        </w:rPr>
        <w:t>структура</w:t>
      </w:r>
      <w:r w:rsidR="001775A0" w:rsidRPr="00152622">
        <w:rPr>
          <w:rFonts w:ascii="Times New Roman" w:hAnsi="Times New Roman" w:cs="Times New Roman"/>
          <w:sz w:val="24"/>
          <w:szCs w:val="24"/>
        </w:rPr>
        <w:t xml:space="preserve"> </w:t>
      </w:r>
      <w:r w:rsidR="001775A0">
        <w:rPr>
          <w:rFonts w:ascii="Times New Roman" w:hAnsi="Times New Roman" w:cs="Times New Roman"/>
          <w:sz w:val="24"/>
          <w:szCs w:val="24"/>
        </w:rPr>
        <w:t>способствует высокой скорости диффуз</w:t>
      </w:r>
      <w:proofErr w:type="gramStart"/>
      <w:r w:rsidR="001775A0">
        <w:rPr>
          <w:rFonts w:ascii="Times New Roman" w:hAnsi="Times New Roman" w:cs="Times New Roman"/>
          <w:sz w:val="24"/>
          <w:szCs w:val="24"/>
        </w:rPr>
        <w:t>ии ио</w:t>
      </w:r>
      <w:proofErr w:type="gramEnd"/>
      <w:r w:rsidR="001775A0">
        <w:rPr>
          <w:rFonts w:ascii="Times New Roman" w:hAnsi="Times New Roman" w:cs="Times New Roman"/>
          <w:sz w:val="24"/>
          <w:szCs w:val="24"/>
        </w:rPr>
        <w:t xml:space="preserve">нов в объем сорбента. </w:t>
      </w:r>
      <w:r w:rsidR="00F741BA">
        <w:rPr>
          <w:rFonts w:ascii="Times New Roman" w:hAnsi="Times New Roman" w:cs="Times New Roman"/>
          <w:sz w:val="24"/>
          <w:szCs w:val="24"/>
        </w:rPr>
        <w:t>Предложена и реализована экспрессная методика определения ионов марганца(</w:t>
      </w:r>
      <w:r w:rsidR="00F741BA">
        <w:rPr>
          <w:rFonts w:ascii="Times New Roman" w:hAnsi="Times New Roman" w:cs="Times New Roman"/>
          <w:sz w:val="24"/>
          <w:szCs w:val="24"/>
          <w:lang w:val="en-US"/>
        </w:rPr>
        <w:t>II</w:t>
      </w:r>
      <w:r w:rsidR="00F741BA" w:rsidRPr="00F741BA">
        <w:rPr>
          <w:rFonts w:ascii="Times New Roman" w:hAnsi="Times New Roman" w:cs="Times New Roman"/>
          <w:sz w:val="24"/>
          <w:szCs w:val="24"/>
        </w:rPr>
        <w:t>)</w:t>
      </w:r>
      <w:r w:rsidR="00F741BA">
        <w:rPr>
          <w:rFonts w:ascii="Times New Roman" w:hAnsi="Times New Roman" w:cs="Times New Roman"/>
          <w:sz w:val="24"/>
          <w:szCs w:val="24"/>
        </w:rPr>
        <w:t xml:space="preserve"> в </w:t>
      </w:r>
      <w:r w:rsidR="00BA531B">
        <w:rPr>
          <w:rFonts w:ascii="Times New Roman" w:hAnsi="Times New Roman" w:cs="Times New Roman"/>
          <w:sz w:val="24"/>
          <w:szCs w:val="24"/>
        </w:rPr>
        <w:t>растворе</w:t>
      </w:r>
      <w:r w:rsidR="00F741BA">
        <w:rPr>
          <w:rFonts w:ascii="Times New Roman" w:hAnsi="Times New Roman" w:cs="Times New Roman"/>
          <w:sz w:val="24"/>
          <w:szCs w:val="24"/>
        </w:rPr>
        <w:t xml:space="preserve"> с использованием </w:t>
      </w:r>
      <w:proofErr w:type="gramStart"/>
      <w:r w:rsidR="00F741BA">
        <w:rPr>
          <w:rFonts w:ascii="Times New Roman" w:hAnsi="Times New Roman" w:cs="Times New Roman"/>
          <w:sz w:val="24"/>
          <w:szCs w:val="24"/>
        </w:rPr>
        <w:t>тест-индикаторной</w:t>
      </w:r>
      <w:proofErr w:type="gramEnd"/>
      <w:r w:rsidR="00F741BA">
        <w:rPr>
          <w:rFonts w:ascii="Times New Roman" w:hAnsi="Times New Roman" w:cs="Times New Roman"/>
          <w:sz w:val="24"/>
          <w:szCs w:val="24"/>
        </w:rPr>
        <w:t xml:space="preserve"> трубки, заполненной катионитом КБ-2Э-16, </w:t>
      </w:r>
      <w:r w:rsidR="00BA531B">
        <w:rPr>
          <w:rFonts w:ascii="Times New Roman" w:hAnsi="Times New Roman" w:cs="Times New Roman"/>
          <w:sz w:val="24"/>
          <w:szCs w:val="24"/>
        </w:rPr>
        <w:t>и</w:t>
      </w:r>
      <w:r w:rsidR="00F741BA">
        <w:rPr>
          <w:rFonts w:ascii="Times New Roman" w:hAnsi="Times New Roman" w:cs="Times New Roman"/>
          <w:sz w:val="24"/>
          <w:szCs w:val="24"/>
        </w:rPr>
        <w:t xml:space="preserve"> реагент</w:t>
      </w:r>
      <w:r w:rsidR="00BA531B">
        <w:rPr>
          <w:rFonts w:ascii="Times New Roman" w:hAnsi="Times New Roman" w:cs="Times New Roman"/>
          <w:sz w:val="24"/>
          <w:szCs w:val="24"/>
        </w:rPr>
        <w:t>а</w:t>
      </w:r>
      <w:r w:rsidR="00F741BA">
        <w:rPr>
          <w:rFonts w:ascii="Times New Roman" w:hAnsi="Times New Roman" w:cs="Times New Roman"/>
          <w:sz w:val="24"/>
          <w:szCs w:val="24"/>
        </w:rPr>
        <w:t xml:space="preserve"> </w:t>
      </w:r>
      <w:proofErr w:type="spellStart"/>
      <w:r w:rsidR="00F741BA">
        <w:rPr>
          <w:rFonts w:ascii="Times New Roman" w:hAnsi="Times New Roman" w:cs="Times New Roman"/>
          <w:sz w:val="24"/>
          <w:szCs w:val="24"/>
        </w:rPr>
        <w:t>формальдоксим</w:t>
      </w:r>
      <w:r w:rsidR="00BA531B">
        <w:rPr>
          <w:rFonts w:ascii="Times New Roman" w:hAnsi="Times New Roman" w:cs="Times New Roman"/>
          <w:sz w:val="24"/>
          <w:szCs w:val="24"/>
        </w:rPr>
        <w:t>а</w:t>
      </w:r>
      <w:proofErr w:type="spellEnd"/>
      <w:r w:rsidR="001775A0">
        <w:rPr>
          <w:rFonts w:ascii="Times New Roman" w:hAnsi="Times New Roman" w:cs="Times New Roman"/>
          <w:sz w:val="24"/>
          <w:szCs w:val="24"/>
        </w:rPr>
        <w:t>.</w:t>
      </w:r>
    </w:p>
    <w:p w:rsidR="001775A0" w:rsidRDefault="001775A0" w:rsidP="001775A0">
      <w:pPr>
        <w:spacing w:after="0" w:line="240" w:lineRule="auto"/>
        <w:jc w:val="both"/>
        <w:rPr>
          <w:rFonts w:ascii="Times New Roman" w:hAnsi="Times New Roman" w:cs="Times New Roman"/>
          <w:sz w:val="24"/>
          <w:szCs w:val="24"/>
        </w:rPr>
      </w:pPr>
    </w:p>
    <w:p w:rsidR="00861F5B" w:rsidRPr="001775A0" w:rsidRDefault="00861F5B" w:rsidP="001775A0">
      <w:pPr>
        <w:spacing w:after="0" w:line="240" w:lineRule="auto"/>
        <w:jc w:val="both"/>
        <w:rPr>
          <w:rFonts w:ascii="Times New Roman" w:hAnsi="Times New Roman" w:cs="Times New Roman"/>
          <w:sz w:val="24"/>
          <w:szCs w:val="24"/>
        </w:rPr>
      </w:pPr>
      <w:r>
        <w:rPr>
          <w:rFonts w:ascii="Times New Roman" w:hAnsi="Times New Roman" w:cs="Times New Roman"/>
          <w:b/>
          <w:sz w:val="24"/>
          <w:szCs w:val="24"/>
          <w:bdr w:val="none" w:sz="0" w:space="0" w:color="auto" w:frame="1"/>
        </w:rPr>
        <w:t>Ключевые слова:</w:t>
      </w:r>
      <w:r w:rsidR="009D0511">
        <w:rPr>
          <w:rFonts w:ascii="Times New Roman" w:hAnsi="Times New Roman" w:cs="Times New Roman"/>
          <w:b/>
          <w:sz w:val="24"/>
          <w:szCs w:val="24"/>
          <w:bdr w:val="none" w:sz="0" w:space="0" w:color="auto" w:frame="1"/>
        </w:rPr>
        <w:t xml:space="preserve"> </w:t>
      </w:r>
      <w:r w:rsidR="00135488" w:rsidRPr="00FB4E90">
        <w:rPr>
          <w:rFonts w:ascii="Times New Roman" w:hAnsi="Times New Roman" w:cs="Times New Roman"/>
          <w:sz w:val="24"/>
          <w:szCs w:val="24"/>
          <w:bdr w:val="none" w:sz="0" w:space="0" w:color="auto" w:frame="1"/>
        </w:rPr>
        <w:t xml:space="preserve">Катионит, сорбция, тест-системы, </w:t>
      </w:r>
      <w:r w:rsidR="00FB4E90" w:rsidRPr="00FB4E90">
        <w:rPr>
          <w:rFonts w:ascii="Times New Roman" w:hAnsi="Times New Roman" w:cs="Times New Roman"/>
          <w:sz w:val="24"/>
          <w:szCs w:val="24"/>
          <w:bdr w:val="none" w:sz="0" w:space="0" w:color="auto" w:frame="1"/>
        </w:rPr>
        <w:t>ионы марганца</w:t>
      </w:r>
      <w:r w:rsidR="006A6326" w:rsidRPr="006A6326">
        <w:rPr>
          <w:rFonts w:ascii="Times New Roman" w:hAnsi="Times New Roman" w:cs="Times New Roman"/>
          <w:sz w:val="24"/>
          <w:szCs w:val="24"/>
          <w:bdr w:val="none" w:sz="0" w:space="0" w:color="auto" w:frame="1"/>
        </w:rPr>
        <w:t>(</w:t>
      </w:r>
      <w:r w:rsidR="006A6326">
        <w:rPr>
          <w:rFonts w:ascii="Times New Roman" w:hAnsi="Times New Roman" w:cs="Times New Roman"/>
          <w:sz w:val="24"/>
          <w:szCs w:val="24"/>
          <w:bdr w:val="none" w:sz="0" w:space="0" w:color="auto" w:frame="1"/>
          <w:lang w:val="en-US"/>
        </w:rPr>
        <w:t>II</w:t>
      </w:r>
      <w:r w:rsidR="006A6326" w:rsidRPr="006A6326">
        <w:rPr>
          <w:rFonts w:ascii="Times New Roman" w:hAnsi="Times New Roman" w:cs="Times New Roman"/>
          <w:sz w:val="24"/>
          <w:szCs w:val="24"/>
          <w:bdr w:val="none" w:sz="0" w:space="0" w:color="auto" w:frame="1"/>
        </w:rPr>
        <w:t>)</w:t>
      </w:r>
      <w:r w:rsidR="00FB4E90" w:rsidRPr="00FB4E90">
        <w:rPr>
          <w:rFonts w:ascii="Times New Roman" w:hAnsi="Times New Roman" w:cs="Times New Roman"/>
          <w:sz w:val="24"/>
          <w:szCs w:val="24"/>
          <w:bdr w:val="none" w:sz="0" w:space="0" w:color="auto" w:frame="1"/>
        </w:rPr>
        <w:t>.</w:t>
      </w:r>
    </w:p>
    <w:p w:rsidR="00FB4E90" w:rsidRPr="00861F5B" w:rsidRDefault="00FB4E90" w:rsidP="00FB4E90">
      <w:pPr>
        <w:spacing w:after="0" w:line="240" w:lineRule="auto"/>
        <w:rPr>
          <w:rFonts w:ascii="Times New Roman" w:hAnsi="Times New Roman" w:cs="Times New Roman"/>
          <w:b/>
          <w:sz w:val="24"/>
          <w:szCs w:val="24"/>
          <w:bdr w:val="none" w:sz="0" w:space="0" w:color="auto" w:frame="1"/>
        </w:rPr>
      </w:pPr>
    </w:p>
    <w:p w:rsidR="00604565" w:rsidRPr="001B77CC" w:rsidRDefault="00FB4E90" w:rsidP="00067AB0">
      <w:pPr>
        <w:pStyle w:val="a8"/>
        <w:shd w:val="clear" w:color="auto" w:fill="FFFFFF"/>
        <w:spacing w:before="0" w:beforeAutospacing="0" w:after="0" w:afterAutospacing="0"/>
        <w:ind w:firstLine="454"/>
        <w:jc w:val="both"/>
      </w:pPr>
      <w:r w:rsidRPr="00FB4E90">
        <w:rPr>
          <w:b/>
          <w:bdr w:val="none" w:sz="0" w:space="0" w:color="auto" w:frame="1"/>
        </w:rPr>
        <w:t>Введение.</w:t>
      </w:r>
      <w:r w:rsidR="009D4326">
        <w:rPr>
          <w:b/>
          <w:bdr w:val="none" w:sz="0" w:space="0" w:color="auto" w:frame="1"/>
        </w:rPr>
        <w:t xml:space="preserve"> </w:t>
      </w:r>
      <w:r w:rsidR="00D14AC7" w:rsidRPr="00D14AC7">
        <w:rPr>
          <w:bdr w:val="none" w:sz="0" w:space="0" w:color="auto" w:frame="1"/>
        </w:rPr>
        <w:t>Особенностью вод</w:t>
      </w:r>
      <w:r w:rsidR="00AB572E">
        <w:rPr>
          <w:bdr w:val="none" w:sz="0" w:space="0" w:color="auto" w:frame="1"/>
        </w:rPr>
        <w:t xml:space="preserve"> </w:t>
      </w:r>
      <w:r w:rsidR="00D14AC7" w:rsidRPr="00493555">
        <w:rPr>
          <w:bdr w:val="none" w:sz="0" w:space="0" w:color="auto" w:frame="1"/>
        </w:rPr>
        <w:t>Западно</w:t>
      </w:r>
      <w:r w:rsidR="00D14AC7">
        <w:rPr>
          <w:bdr w:val="none" w:sz="0" w:space="0" w:color="auto" w:frame="1"/>
        </w:rPr>
        <w:t xml:space="preserve">-Сибирского артезианского бассейна является повышенное содержание железа и марганца, что обусловлено действием природных </w:t>
      </w:r>
      <w:r w:rsidR="00D14AC7" w:rsidRPr="001B77CC">
        <w:rPr>
          <w:bdr w:val="none" w:sz="0" w:space="0" w:color="auto" w:frame="1"/>
        </w:rPr>
        <w:t>факторов</w:t>
      </w:r>
      <w:r w:rsidR="00185C4D" w:rsidRPr="001B77CC">
        <w:rPr>
          <w:bdr w:val="none" w:sz="0" w:space="0" w:color="auto" w:frame="1"/>
        </w:rPr>
        <w:t xml:space="preserve"> </w:t>
      </w:r>
      <w:r w:rsidR="0011135E" w:rsidRPr="001B77CC">
        <w:rPr>
          <w:bdr w:val="none" w:sz="0" w:space="0" w:color="auto" w:frame="1"/>
        </w:rPr>
        <w:t>[1]</w:t>
      </w:r>
      <w:r w:rsidR="00D14AC7" w:rsidRPr="001B77CC">
        <w:rPr>
          <w:bdr w:val="none" w:sz="0" w:space="0" w:color="auto" w:frame="1"/>
        </w:rPr>
        <w:t>.</w:t>
      </w:r>
      <w:r w:rsidR="001775A0" w:rsidRPr="001B77CC">
        <w:rPr>
          <w:bdr w:val="none" w:sz="0" w:space="0" w:color="auto" w:frame="1"/>
        </w:rPr>
        <w:t xml:space="preserve"> </w:t>
      </w:r>
      <w:r w:rsidR="00D14AC7" w:rsidRPr="001B77CC">
        <w:rPr>
          <w:bdr w:val="none" w:sz="0" w:space="0" w:color="auto" w:frame="1"/>
        </w:rPr>
        <w:t>Предельно допустимая концентрация ионов марганца(</w:t>
      </w:r>
      <w:r w:rsidR="00D14AC7" w:rsidRPr="001B77CC">
        <w:rPr>
          <w:bdr w:val="none" w:sz="0" w:space="0" w:color="auto" w:frame="1"/>
          <w:lang w:val="en-US"/>
        </w:rPr>
        <w:t>II</w:t>
      </w:r>
      <w:r w:rsidR="00D14AC7" w:rsidRPr="001B77CC">
        <w:rPr>
          <w:bdr w:val="none" w:sz="0" w:space="0" w:color="auto" w:frame="1"/>
        </w:rPr>
        <w:t>) в питьевой воде составляет 0,1 мг/л</w:t>
      </w:r>
      <w:r w:rsidR="00A8360D" w:rsidRPr="001B77CC">
        <w:rPr>
          <w:bdr w:val="none" w:sz="0" w:space="0" w:color="auto" w:frame="1"/>
        </w:rPr>
        <w:t>.</w:t>
      </w:r>
      <w:r w:rsidR="001775A0" w:rsidRPr="001B77CC">
        <w:rPr>
          <w:bdr w:val="none" w:sz="0" w:space="0" w:color="auto" w:frame="1"/>
        </w:rPr>
        <w:t xml:space="preserve"> </w:t>
      </w:r>
      <w:r w:rsidR="00A8360D" w:rsidRPr="001B77CC">
        <w:rPr>
          <w:bdr w:val="none" w:sz="0" w:space="0" w:color="auto" w:frame="1"/>
        </w:rPr>
        <w:t>П</w:t>
      </w:r>
      <w:r w:rsidR="00D14AC7" w:rsidRPr="001B77CC">
        <w:rPr>
          <w:bdr w:val="none" w:sz="0" w:space="0" w:color="auto" w:frame="1"/>
        </w:rPr>
        <w:t>ревышение содержания ионов существенно ухудшает вкус воды</w:t>
      </w:r>
      <w:r w:rsidR="00AB572E" w:rsidRPr="001B77CC">
        <w:rPr>
          <w:bdr w:val="none" w:sz="0" w:space="0" w:color="auto" w:frame="1"/>
        </w:rPr>
        <w:t xml:space="preserve"> </w:t>
      </w:r>
      <w:r w:rsidR="00853F23" w:rsidRPr="001B77CC">
        <w:rPr>
          <w:bdr w:val="none" w:sz="0" w:space="0" w:color="auto" w:frame="1"/>
        </w:rPr>
        <w:t xml:space="preserve">и оказывает негативное влияние на организм человека. Проблема контроля </w:t>
      </w:r>
      <w:r w:rsidR="00853F23" w:rsidRPr="001B77CC">
        <w:t xml:space="preserve">содержания </w:t>
      </w:r>
      <w:r w:rsidR="00853F23" w:rsidRPr="001B77CC">
        <w:rPr>
          <w:bdr w:val="none" w:sz="0" w:space="0" w:color="auto" w:frame="1"/>
        </w:rPr>
        <w:t>марганца(</w:t>
      </w:r>
      <w:r w:rsidR="00853F23" w:rsidRPr="001B77CC">
        <w:rPr>
          <w:bdr w:val="none" w:sz="0" w:space="0" w:color="auto" w:frame="1"/>
          <w:lang w:val="en-US"/>
        </w:rPr>
        <w:t>II</w:t>
      </w:r>
      <w:r w:rsidR="00853F23" w:rsidRPr="001B77CC">
        <w:rPr>
          <w:bdr w:val="none" w:sz="0" w:space="0" w:color="auto" w:frame="1"/>
        </w:rPr>
        <w:t xml:space="preserve">) в </w:t>
      </w:r>
      <w:r w:rsidR="00853F23" w:rsidRPr="001B77CC">
        <w:t xml:space="preserve">большом числе источников питьевой воды </w:t>
      </w:r>
      <w:r w:rsidR="00196294" w:rsidRPr="001B77CC">
        <w:t>остается</w:t>
      </w:r>
      <w:r w:rsidR="00853F23" w:rsidRPr="001B77CC">
        <w:t xml:space="preserve"> весьма актуальной. </w:t>
      </w:r>
    </w:p>
    <w:p w:rsidR="00604565" w:rsidRPr="001B77CC" w:rsidRDefault="00604565" w:rsidP="00A8360D">
      <w:pPr>
        <w:pStyle w:val="a8"/>
        <w:shd w:val="clear" w:color="auto" w:fill="FFFFFF"/>
        <w:spacing w:before="0" w:beforeAutospacing="0" w:after="0" w:afterAutospacing="0"/>
        <w:ind w:firstLine="454"/>
        <w:jc w:val="both"/>
      </w:pPr>
      <w:r w:rsidRPr="001B77CC">
        <w:t xml:space="preserve">В аналитической практике для определения </w:t>
      </w:r>
      <w:r w:rsidR="00AB572E" w:rsidRPr="001B77CC">
        <w:t xml:space="preserve">ионов </w:t>
      </w:r>
      <w:proofErr w:type="spellStart"/>
      <w:r w:rsidR="00F312DF" w:rsidRPr="001B77CC">
        <w:rPr>
          <w:bdr w:val="none" w:sz="0" w:space="0" w:color="auto" w:frame="1"/>
          <w:lang w:val="en-US"/>
        </w:rPr>
        <w:t>Mn</w:t>
      </w:r>
      <w:proofErr w:type="spellEnd"/>
      <w:r w:rsidR="00F312DF" w:rsidRPr="001B77CC">
        <w:rPr>
          <w:bdr w:val="none" w:sz="0" w:space="0" w:color="auto" w:frame="1"/>
          <w:vertAlign w:val="superscript"/>
        </w:rPr>
        <w:t>2+</w:t>
      </w:r>
      <w:r w:rsidR="00AB572E" w:rsidRPr="001B77CC">
        <w:rPr>
          <w:bdr w:val="none" w:sz="0" w:space="0" w:color="auto" w:frame="1"/>
        </w:rPr>
        <w:t xml:space="preserve"> </w:t>
      </w:r>
      <w:r w:rsidRPr="001B77CC">
        <w:t xml:space="preserve">используются фотометрические методы, основанные на переведении их в перманганат-ионы или </w:t>
      </w:r>
      <w:proofErr w:type="gramStart"/>
      <w:r w:rsidRPr="001B77CC">
        <w:t>в</w:t>
      </w:r>
      <w:proofErr w:type="gramEnd"/>
      <w:r w:rsidRPr="001B77CC">
        <w:t xml:space="preserve"> окрашенные комплексные соединения с органическими реагентами [2]. Одним из наиболее дешевых и чувствительны</w:t>
      </w:r>
      <w:r w:rsidR="00A8360D" w:rsidRPr="001B77CC">
        <w:t xml:space="preserve">х реагентов является </w:t>
      </w:r>
      <w:proofErr w:type="spellStart"/>
      <w:r w:rsidR="00A8360D" w:rsidRPr="001B77CC">
        <w:t>формальдоксим</w:t>
      </w:r>
      <w:proofErr w:type="spellEnd"/>
      <w:r w:rsidR="00A8360D" w:rsidRPr="001B77CC">
        <w:t>, позволяющи</w:t>
      </w:r>
      <w:r w:rsidR="00AB572E" w:rsidRPr="001B77CC">
        <w:t>й</w:t>
      </w:r>
      <w:r w:rsidR="00A8360D" w:rsidRPr="001B77CC">
        <w:t xml:space="preserve"> определить </w:t>
      </w:r>
      <w:r w:rsidR="00D85E4A" w:rsidRPr="001B77CC">
        <w:t>марганец</w:t>
      </w:r>
      <w:r w:rsidR="00A8360D" w:rsidRPr="001B77CC">
        <w:t>(</w:t>
      </w:r>
      <w:r w:rsidR="00A8360D" w:rsidRPr="001B77CC">
        <w:rPr>
          <w:lang w:val="en-US"/>
        </w:rPr>
        <w:t>II</w:t>
      </w:r>
      <w:r w:rsidR="00A8360D" w:rsidRPr="001B77CC">
        <w:t>) в водном растворе на уровне 0,07 мкг/мл</w:t>
      </w:r>
      <w:r w:rsidR="005D61B8">
        <w:t xml:space="preserve"> </w:t>
      </w:r>
      <w:r w:rsidR="005D61B8" w:rsidRPr="005D61B8">
        <w:t>[</w:t>
      </w:r>
      <w:r w:rsidR="005D61B8" w:rsidRPr="00EB768F">
        <w:t>3</w:t>
      </w:r>
      <w:r w:rsidR="005D61B8" w:rsidRPr="005D61B8">
        <w:t>]</w:t>
      </w:r>
      <w:r w:rsidR="00A8360D" w:rsidRPr="001B77CC">
        <w:t>. Однако фотометрические методы слишком трудоемки и неприменимы в полевых условиях.</w:t>
      </w:r>
    </w:p>
    <w:p w:rsidR="00FC5901" w:rsidRPr="00AB572E" w:rsidRDefault="00853F23" w:rsidP="00AB572E">
      <w:pPr>
        <w:pStyle w:val="a8"/>
        <w:shd w:val="clear" w:color="auto" w:fill="FFFFFF"/>
        <w:spacing w:before="0" w:beforeAutospacing="0" w:after="0" w:afterAutospacing="0"/>
        <w:ind w:firstLine="454"/>
        <w:jc w:val="both"/>
      </w:pPr>
      <w:r w:rsidRPr="001B77CC">
        <w:t>Пе</w:t>
      </w:r>
      <w:r w:rsidR="00492D86" w:rsidRPr="001B77CC">
        <w:t>рспективными</w:t>
      </w:r>
      <w:r w:rsidRPr="001B77CC">
        <w:t xml:space="preserve"> средствами </w:t>
      </w:r>
      <w:r w:rsidR="00492D86" w:rsidRPr="001B77CC">
        <w:t>для контроля качества воды являются</w:t>
      </w:r>
      <w:r w:rsidR="00AB572E" w:rsidRPr="001B77CC">
        <w:t xml:space="preserve"> </w:t>
      </w:r>
      <w:r w:rsidR="00492D86" w:rsidRPr="001B77CC">
        <w:t>простые и недорогие тест-системы и методики, не требующие существенной пробоподготовки,</w:t>
      </w:r>
      <w:r w:rsidR="00AB572E" w:rsidRPr="001B77CC">
        <w:t xml:space="preserve"> </w:t>
      </w:r>
      <w:r w:rsidR="00492D86" w:rsidRPr="001B77CC">
        <w:t>позволяющие провести анализ самим потребителем во внелабораторных условиях (</w:t>
      </w:r>
      <w:r w:rsidR="00492D86" w:rsidRPr="001B77CC">
        <w:rPr>
          <w:lang w:val="en-US"/>
        </w:rPr>
        <w:t>on</w:t>
      </w:r>
      <w:r w:rsidR="00492D86" w:rsidRPr="001B77CC">
        <w:t>-</w:t>
      </w:r>
      <w:r w:rsidR="00492D86" w:rsidRPr="001B77CC">
        <w:rPr>
          <w:lang w:val="en-US"/>
        </w:rPr>
        <w:t>site</w:t>
      </w:r>
      <w:r w:rsidR="00492D86" w:rsidRPr="001B77CC">
        <w:t>).</w:t>
      </w:r>
      <w:r w:rsidR="00AB572E" w:rsidRPr="001B77CC">
        <w:t xml:space="preserve"> </w:t>
      </w:r>
      <w:r w:rsidR="0011135E" w:rsidRPr="001B77CC">
        <w:t>В работ</w:t>
      </w:r>
      <w:r w:rsidR="004D050A" w:rsidRPr="001B77CC">
        <w:t>е</w:t>
      </w:r>
      <w:r w:rsidR="00185C4D" w:rsidRPr="001B77CC">
        <w:t xml:space="preserve"> </w:t>
      </w:r>
      <w:r w:rsidR="00EB768F">
        <w:t>[</w:t>
      </w:r>
      <w:r w:rsidR="005D61B8" w:rsidRPr="00EB768F">
        <w:t>4</w:t>
      </w:r>
      <w:r w:rsidR="0011135E" w:rsidRPr="001B77CC">
        <w:t>] представлена методика экспрессного определения ионов меди(</w:t>
      </w:r>
      <w:r w:rsidR="0011135E" w:rsidRPr="001B77CC">
        <w:rPr>
          <w:lang w:val="en-US"/>
        </w:rPr>
        <w:t>II</w:t>
      </w:r>
      <w:r w:rsidR="0011135E" w:rsidRPr="001B77CC">
        <w:t>) и кобальта(</w:t>
      </w:r>
      <w:r w:rsidR="0011135E" w:rsidRPr="001B77CC">
        <w:rPr>
          <w:lang w:val="en-US"/>
        </w:rPr>
        <w:t>II</w:t>
      </w:r>
      <w:r w:rsidR="0011135E" w:rsidRPr="001B77CC">
        <w:t xml:space="preserve">) в природных водах с помощью </w:t>
      </w:r>
      <w:proofErr w:type="gramStart"/>
      <w:r w:rsidR="0011135E" w:rsidRPr="001B77CC">
        <w:t>тест-индикаторной</w:t>
      </w:r>
      <w:proofErr w:type="gramEnd"/>
      <w:r w:rsidR="0011135E" w:rsidRPr="001B77CC">
        <w:t xml:space="preserve"> т</w:t>
      </w:r>
      <w:r w:rsidR="00F32E54" w:rsidRPr="001B77CC">
        <w:t>р</w:t>
      </w:r>
      <w:r w:rsidR="0011135E" w:rsidRPr="001B77CC">
        <w:t>убки, заполненной карбоксильным катионитом</w:t>
      </w:r>
      <w:r w:rsidR="00FC5901" w:rsidRPr="001B77CC">
        <w:t xml:space="preserve"> марки КБ-2Э</w:t>
      </w:r>
      <w:r w:rsidR="0011135E" w:rsidRPr="001B77CC">
        <w:t>.</w:t>
      </w:r>
      <w:r w:rsidR="00AB572E" w:rsidRPr="001B77CC">
        <w:t xml:space="preserve"> </w:t>
      </w:r>
      <w:r w:rsidR="00BA131B" w:rsidRPr="001B77CC">
        <w:rPr>
          <w:bdr w:val="none" w:sz="0" w:space="0" w:color="auto" w:frame="1"/>
        </w:rPr>
        <w:t>И</w:t>
      </w:r>
      <w:r w:rsidR="00AB572E" w:rsidRPr="001B77CC">
        <w:rPr>
          <w:bdr w:val="none" w:sz="0" w:space="0" w:color="auto" w:frame="1"/>
        </w:rPr>
        <w:t>он</w:t>
      </w:r>
      <w:r w:rsidR="00BA131B" w:rsidRPr="001B77CC">
        <w:rPr>
          <w:bdr w:val="none" w:sz="0" w:space="0" w:color="auto" w:frame="1"/>
        </w:rPr>
        <w:t>ы</w:t>
      </w:r>
      <w:r w:rsidR="00AB572E" w:rsidRPr="001B77CC">
        <w:rPr>
          <w:bdr w:val="none" w:sz="0" w:space="0" w:color="auto" w:frame="1"/>
        </w:rPr>
        <w:t xml:space="preserve"> </w:t>
      </w:r>
      <w:r w:rsidR="00AB572E" w:rsidRPr="001B77CC">
        <w:rPr>
          <w:i/>
          <w:bdr w:val="none" w:sz="0" w:space="0" w:color="auto" w:frame="1"/>
          <w:lang w:val="en-US"/>
        </w:rPr>
        <w:t>d</w:t>
      </w:r>
      <w:r w:rsidR="00AB572E" w:rsidRPr="001B77CC">
        <w:rPr>
          <w:bdr w:val="none" w:sz="0" w:space="0" w:color="auto" w:frame="1"/>
        </w:rPr>
        <w:t xml:space="preserve">-металлов </w:t>
      </w:r>
      <w:r w:rsidR="00FC5901" w:rsidRPr="001B77CC">
        <w:rPr>
          <w:bdr w:val="none" w:sz="0" w:space="0" w:color="auto" w:frame="1"/>
        </w:rPr>
        <w:t>способны к комплексообразованию с</w:t>
      </w:r>
      <w:r w:rsidR="00BA131B" w:rsidRPr="001B77CC">
        <w:rPr>
          <w:bdr w:val="none" w:sz="0" w:space="0" w:color="auto" w:frame="1"/>
        </w:rPr>
        <w:t xml:space="preserve"> карбоксильными группами катионита</w:t>
      </w:r>
      <w:r w:rsidR="00FC5901" w:rsidRPr="001B77CC">
        <w:rPr>
          <w:bdr w:val="none" w:sz="0" w:space="0" w:color="auto" w:frame="1"/>
        </w:rPr>
        <w:t>, что обеспечивает избирательность сорбции</w:t>
      </w:r>
      <w:r w:rsidR="00BF00CB">
        <w:rPr>
          <w:bdr w:val="none" w:sz="0" w:space="0" w:color="auto" w:frame="1"/>
        </w:rPr>
        <w:t xml:space="preserve"> </w:t>
      </w:r>
      <w:r w:rsidR="00BF00CB" w:rsidRPr="00BF00CB">
        <w:rPr>
          <w:bdr w:val="none" w:sz="0" w:space="0" w:color="auto" w:frame="1"/>
        </w:rPr>
        <w:t>[</w:t>
      </w:r>
      <w:r w:rsidR="00BF00CB" w:rsidRPr="00EB768F">
        <w:rPr>
          <w:bdr w:val="none" w:sz="0" w:space="0" w:color="auto" w:frame="1"/>
        </w:rPr>
        <w:t>5</w:t>
      </w:r>
      <w:r w:rsidR="00BF00CB" w:rsidRPr="00BF00CB">
        <w:rPr>
          <w:bdr w:val="none" w:sz="0" w:space="0" w:color="auto" w:frame="1"/>
        </w:rPr>
        <w:t>]</w:t>
      </w:r>
      <w:r w:rsidR="00FC5901" w:rsidRPr="001B77CC">
        <w:rPr>
          <w:bdr w:val="none" w:sz="0" w:space="0" w:color="auto" w:frame="1"/>
        </w:rPr>
        <w:t xml:space="preserve">. </w:t>
      </w:r>
      <w:r w:rsidR="00A8360D" w:rsidRPr="001B77CC">
        <w:rPr>
          <w:bdr w:val="none" w:sz="0" w:space="0" w:color="auto" w:frame="1"/>
        </w:rPr>
        <w:t>М</w:t>
      </w:r>
      <w:r w:rsidR="00A8360D" w:rsidRPr="001B77CC">
        <w:t>етодика</w:t>
      </w:r>
      <w:r w:rsidR="00AB572E" w:rsidRPr="001B77CC">
        <w:t xml:space="preserve"> </w:t>
      </w:r>
      <w:r w:rsidR="00F32E54" w:rsidRPr="001B77CC">
        <w:t>основан</w:t>
      </w:r>
      <w:r w:rsidR="00A8360D" w:rsidRPr="001B77CC">
        <w:t>а</w:t>
      </w:r>
      <w:r w:rsidR="00F32E54" w:rsidRPr="001B77CC">
        <w:t xml:space="preserve"> на получении окрашенных зон ионов при пропускании через </w:t>
      </w:r>
      <w:r w:rsidR="006D1C6E" w:rsidRPr="001B77CC">
        <w:t>трубку</w:t>
      </w:r>
      <w:r w:rsidR="00F32E54" w:rsidRPr="001B77CC">
        <w:t xml:space="preserve"> определенного объема раствора. </w:t>
      </w:r>
      <w:r w:rsidR="00733623" w:rsidRPr="001B77CC">
        <w:t>Зерна карбоксильн</w:t>
      </w:r>
      <w:r w:rsidR="00F312DF" w:rsidRPr="001B77CC">
        <w:t>ого</w:t>
      </w:r>
      <w:r w:rsidR="00733623" w:rsidRPr="001B77CC">
        <w:t xml:space="preserve"> катионит</w:t>
      </w:r>
      <w:r w:rsidR="00F312DF" w:rsidRPr="001B77CC">
        <w:t>а</w:t>
      </w:r>
      <w:r w:rsidR="00733623" w:rsidRPr="001B77CC">
        <w:t>, слегка желтоватые или белые в исходной форме, окрашиваются после сорбции меди(</w:t>
      </w:r>
      <w:r w:rsidR="00733623" w:rsidRPr="001B77CC">
        <w:rPr>
          <w:lang w:val="en-US"/>
        </w:rPr>
        <w:t>II</w:t>
      </w:r>
      <w:r w:rsidR="00733623" w:rsidRPr="001B77CC">
        <w:t>)</w:t>
      </w:r>
      <w:r w:rsidR="00AB572E" w:rsidRPr="001B77CC">
        <w:t xml:space="preserve"> </w:t>
      </w:r>
      <w:r w:rsidR="00733623" w:rsidRPr="001B77CC">
        <w:noBreakHyphen/>
        <w:t xml:space="preserve"> в голуб</w:t>
      </w:r>
      <w:r w:rsidR="006D1C6E" w:rsidRPr="001B77CC">
        <w:t>о</w:t>
      </w:r>
      <w:r w:rsidR="00733623" w:rsidRPr="001B77CC">
        <w:t>й и кобальта(</w:t>
      </w:r>
      <w:r w:rsidR="00733623" w:rsidRPr="001B77CC">
        <w:rPr>
          <w:lang w:val="en-US"/>
        </w:rPr>
        <w:t>II</w:t>
      </w:r>
      <w:r w:rsidR="00733623" w:rsidRPr="001B77CC">
        <w:t>)</w:t>
      </w:r>
      <w:r w:rsidR="00AB572E" w:rsidRPr="001B77CC">
        <w:t xml:space="preserve"> </w:t>
      </w:r>
      <w:r w:rsidR="00733623" w:rsidRPr="001B77CC">
        <w:noBreakHyphen/>
        <w:t xml:space="preserve"> в розовый цвет. </w:t>
      </w:r>
      <w:r w:rsidR="00FC5901" w:rsidRPr="001B77CC">
        <w:t>Можно ожидать, что ионы марганца(</w:t>
      </w:r>
      <w:r w:rsidR="00FC5901" w:rsidRPr="001B77CC">
        <w:rPr>
          <w:lang w:val="en-US"/>
        </w:rPr>
        <w:t>II</w:t>
      </w:r>
      <w:r w:rsidR="00FC5901" w:rsidRPr="001B77CC">
        <w:t xml:space="preserve">), обладающие сродством </w:t>
      </w:r>
      <w:proofErr w:type="gramStart"/>
      <w:r w:rsidR="00FC5901" w:rsidRPr="001B77CC">
        <w:t>к</w:t>
      </w:r>
      <w:proofErr w:type="gramEnd"/>
      <w:r w:rsidR="00FC5901" w:rsidRPr="001B77CC">
        <w:t xml:space="preserve"> кислородсодержащим </w:t>
      </w:r>
      <w:proofErr w:type="spellStart"/>
      <w:r w:rsidR="00FC5901" w:rsidRPr="001B77CC">
        <w:t>лигандам</w:t>
      </w:r>
      <w:proofErr w:type="spellEnd"/>
      <w:r w:rsidR="00FC5901" w:rsidRPr="001B77CC">
        <w:t xml:space="preserve">, также способны избирательно поглощаться карбоксильными катионитами. Однако </w:t>
      </w:r>
      <w:r w:rsidR="00D950A5" w:rsidRPr="001B77CC">
        <w:t xml:space="preserve">в </w:t>
      </w:r>
      <w:r w:rsidR="00FC5901" w:rsidRPr="001B77CC">
        <w:t xml:space="preserve">растворе </w:t>
      </w:r>
      <w:r w:rsidR="00D950A5" w:rsidRPr="001B77CC">
        <w:t xml:space="preserve">эти ионы </w:t>
      </w:r>
      <w:r w:rsidR="00FC5901" w:rsidRPr="001B77CC">
        <w:t>практически бесцветны,</w:t>
      </w:r>
      <w:r w:rsidR="00D950A5" w:rsidRPr="001B77CC">
        <w:t xml:space="preserve"> поэтому при их сорбции катионит не окрашива</w:t>
      </w:r>
      <w:r w:rsidR="00196294" w:rsidRPr="001B77CC">
        <w:t>ет</w:t>
      </w:r>
      <w:r w:rsidR="00D950A5" w:rsidRPr="001B77CC">
        <w:t xml:space="preserve">ся. </w:t>
      </w:r>
      <w:r w:rsidR="00F312DF" w:rsidRPr="001B77CC">
        <w:t>Д</w:t>
      </w:r>
      <w:r w:rsidR="00D950A5" w:rsidRPr="001B77CC">
        <w:t xml:space="preserve">ля получения визуально наблюдаемого и измеряемого аналитического эффекта необходим дополнительный реагент, раствором которого </w:t>
      </w:r>
      <w:r w:rsidR="00F967F4" w:rsidRPr="001B77CC">
        <w:t>должен обрабатыва</w:t>
      </w:r>
      <w:r w:rsidR="001A3608" w:rsidRPr="001B77CC">
        <w:t>т</w:t>
      </w:r>
      <w:r w:rsidR="00F967F4" w:rsidRPr="001B77CC">
        <w:t>ь</w:t>
      </w:r>
      <w:r w:rsidR="001A3608" w:rsidRPr="001B77CC">
        <w:t>ся катионит</w:t>
      </w:r>
      <w:r w:rsidR="00AB572E" w:rsidRPr="001B77CC">
        <w:t xml:space="preserve"> </w:t>
      </w:r>
      <w:r w:rsidR="00F312DF" w:rsidRPr="001B77CC">
        <w:t xml:space="preserve">после сорбции </w:t>
      </w:r>
      <w:proofErr w:type="spellStart"/>
      <w:r w:rsidR="00F312DF" w:rsidRPr="001B77CC">
        <w:rPr>
          <w:bdr w:val="none" w:sz="0" w:space="0" w:color="auto" w:frame="1"/>
          <w:lang w:val="en-US"/>
        </w:rPr>
        <w:t>Mn</w:t>
      </w:r>
      <w:proofErr w:type="spellEnd"/>
      <w:r w:rsidR="00F312DF" w:rsidRPr="001B77CC">
        <w:rPr>
          <w:bdr w:val="none" w:sz="0" w:space="0" w:color="auto" w:frame="1"/>
          <w:vertAlign w:val="superscript"/>
        </w:rPr>
        <w:t>2+</w:t>
      </w:r>
      <w:r w:rsidR="001A3608" w:rsidRPr="001B77CC">
        <w:t xml:space="preserve">. </w:t>
      </w:r>
      <w:r w:rsidR="00A60594" w:rsidRPr="001B77CC">
        <w:t>Для определения марганца(</w:t>
      </w:r>
      <w:r w:rsidR="00A60594" w:rsidRPr="001B77CC">
        <w:rPr>
          <w:lang w:val="en-US"/>
        </w:rPr>
        <w:t>II</w:t>
      </w:r>
      <w:r w:rsidR="00A60594" w:rsidRPr="001B77CC">
        <w:t>) в водных растворах а</w:t>
      </w:r>
      <w:r w:rsidR="00EB768F">
        <w:t>вторами [</w:t>
      </w:r>
      <w:r w:rsidR="005D61B8" w:rsidRPr="00EB768F">
        <w:t>6</w:t>
      </w:r>
      <w:r w:rsidR="001A3608" w:rsidRPr="001B77CC">
        <w:t>]</w:t>
      </w:r>
      <w:r w:rsidR="00185C4D" w:rsidRPr="001B77CC">
        <w:t xml:space="preserve"> </w:t>
      </w:r>
      <w:r w:rsidR="00A60594" w:rsidRPr="001B77CC">
        <w:t>предложен индикаторный состав на основе анионита АН-31 с дополнительным реагентом ПАР ( 4-(2-</w:t>
      </w:r>
      <w:r w:rsidR="00A60594">
        <w:lastRenderedPageBreak/>
        <w:t>пиридилазо</w:t>
      </w:r>
      <w:proofErr w:type="gramStart"/>
      <w:r w:rsidR="00C46D76">
        <w:t>)-</w:t>
      </w:r>
      <w:proofErr w:type="gramEnd"/>
      <w:r w:rsidR="00C46D76">
        <w:t>резорцин)</w:t>
      </w:r>
      <w:r w:rsidR="00A60594">
        <w:t xml:space="preserve">, </w:t>
      </w:r>
      <w:r w:rsidR="00F312DF">
        <w:t>хотя б</w:t>
      </w:r>
      <w:r w:rsidR="00A60594">
        <w:t>олее дешевым</w:t>
      </w:r>
      <w:r w:rsidR="00D85E4A">
        <w:t xml:space="preserve"> </w:t>
      </w:r>
      <w:r w:rsidR="00A60594">
        <w:t xml:space="preserve">и доступным реагентом, не уступающим ПАР по чувствительности реакции, является </w:t>
      </w:r>
      <w:proofErr w:type="spellStart"/>
      <w:r w:rsidR="00A60594">
        <w:t>формальдоксим</w:t>
      </w:r>
      <w:proofErr w:type="spellEnd"/>
      <w:r w:rsidR="00F312DF">
        <w:t>.</w:t>
      </w:r>
    </w:p>
    <w:p w:rsidR="00C46D76" w:rsidRPr="002958FF" w:rsidRDefault="00C46D76" w:rsidP="002958FF">
      <w:pPr>
        <w:pStyle w:val="a8"/>
        <w:shd w:val="clear" w:color="auto" w:fill="FFFFFF"/>
        <w:spacing w:before="0" w:beforeAutospacing="0" w:after="0" w:afterAutospacing="0"/>
        <w:ind w:firstLine="454"/>
        <w:jc w:val="both"/>
        <w:rPr>
          <w:bCs/>
        </w:rPr>
      </w:pPr>
      <w:r>
        <w:t>Цель данной работы – исследование избирательности сорбц</w:t>
      </w:r>
      <w:proofErr w:type="gramStart"/>
      <w:r>
        <w:t>ии ио</w:t>
      </w:r>
      <w:proofErr w:type="gramEnd"/>
      <w:r>
        <w:t>нов марганца</w:t>
      </w:r>
      <w:r w:rsidRPr="009913C1">
        <w:t>(</w:t>
      </w:r>
      <w:r>
        <w:rPr>
          <w:lang w:val="en-US"/>
        </w:rPr>
        <w:t>II</w:t>
      </w:r>
      <w:r w:rsidRPr="009913C1">
        <w:t>)</w:t>
      </w:r>
      <w:r>
        <w:t xml:space="preserve"> карбоксильными катионитами КБ-2Э-16 и Токем-250 в равновесных и динамических условиях </w:t>
      </w:r>
      <w:r>
        <w:rPr>
          <w:color w:val="000000"/>
          <w:spacing w:val="4"/>
        </w:rPr>
        <w:t xml:space="preserve">и </w:t>
      </w:r>
      <w:r w:rsidRPr="00FA0C70">
        <w:rPr>
          <w:bCs/>
          <w:color w:val="000000"/>
        </w:rPr>
        <w:t>разработ</w:t>
      </w:r>
      <w:r>
        <w:rPr>
          <w:bCs/>
          <w:color w:val="000000"/>
        </w:rPr>
        <w:t xml:space="preserve">ка методики экспрессного </w:t>
      </w:r>
      <w:r w:rsidRPr="00FA0C70">
        <w:rPr>
          <w:bCs/>
          <w:color w:val="000000"/>
        </w:rPr>
        <w:t>сорбционно-</w:t>
      </w:r>
      <w:proofErr w:type="spellStart"/>
      <w:r w:rsidRPr="00FA0C70">
        <w:rPr>
          <w:bCs/>
          <w:color w:val="000000"/>
        </w:rPr>
        <w:t>цветометрического</w:t>
      </w:r>
      <w:proofErr w:type="spellEnd"/>
      <w:r w:rsidRPr="00FA0C70">
        <w:rPr>
          <w:bCs/>
          <w:color w:val="000000"/>
        </w:rPr>
        <w:t xml:space="preserve"> определения ионов </w:t>
      </w:r>
      <w:r>
        <w:rPr>
          <w:bCs/>
          <w:color w:val="000000"/>
        </w:rPr>
        <w:t>с помощью индикаторной трубки, заполненной катиони</w:t>
      </w:r>
      <w:r w:rsidRPr="00FA0C70">
        <w:rPr>
          <w:bCs/>
          <w:color w:val="000000"/>
        </w:rPr>
        <w:t>т</w:t>
      </w:r>
      <w:r>
        <w:rPr>
          <w:bCs/>
          <w:color w:val="000000"/>
        </w:rPr>
        <w:t>ом.</w:t>
      </w:r>
      <w:r w:rsidR="00423EB8">
        <w:rPr>
          <w:bCs/>
          <w:color w:val="000000"/>
        </w:rPr>
        <w:t xml:space="preserve"> </w:t>
      </w:r>
      <w:r w:rsidRPr="00067AB0">
        <w:t>Катиониты синтезированы Кемеровским ООО ПО «</w:t>
      </w:r>
      <w:proofErr w:type="spellStart"/>
      <w:r w:rsidRPr="00067AB0">
        <w:t>Токем</w:t>
      </w:r>
      <w:proofErr w:type="spellEnd"/>
      <w:r w:rsidRPr="00067AB0">
        <w:t xml:space="preserve">» на основе </w:t>
      </w:r>
      <w:r w:rsidRPr="00067AB0">
        <w:rPr>
          <w:bCs/>
        </w:rPr>
        <w:t xml:space="preserve">полиакриловой кислоты и сшивающих агентов </w:t>
      </w:r>
      <w:proofErr w:type="spellStart"/>
      <w:r w:rsidRPr="00067AB0">
        <w:t>дивинилового</w:t>
      </w:r>
      <w:proofErr w:type="spellEnd"/>
      <w:r w:rsidRPr="00067AB0">
        <w:t xml:space="preserve"> эфира </w:t>
      </w:r>
      <w:proofErr w:type="spellStart"/>
      <w:r w:rsidRPr="00067AB0">
        <w:t>диэтиленгликоля</w:t>
      </w:r>
      <w:proofErr w:type="spellEnd"/>
      <w:r w:rsidR="00BA131B">
        <w:t xml:space="preserve"> </w:t>
      </w:r>
      <w:r w:rsidR="00F9389E">
        <w:t>– КБ-2Э-16</w:t>
      </w:r>
      <w:r w:rsidR="00BA131B">
        <w:t xml:space="preserve"> </w:t>
      </w:r>
      <w:r w:rsidR="00F9389E" w:rsidRPr="00067AB0">
        <w:rPr>
          <w:bCs/>
        </w:rPr>
        <w:t xml:space="preserve">и дивинилбензола </w:t>
      </w:r>
      <w:r w:rsidR="00D85E4A">
        <w:rPr>
          <w:bCs/>
        </w:rPr>
        <w:noBreakHyphen/>
      </w:r>
      <w:r w:rsidR="00F9389E">
        <w:rPr>
          <w:bCs/>
        </w:rPr>
        <w:t xml:space="preserve"> Токем-250.</w:t>
      </w:r>
      <w:r w:rsidR="00BA131B">
        <w:rPr>
          <w:bCs/>
        </w:rPr>
        <w:t xml:space="preserve"> </w:t>
      </w:r>
      <w:r w:rsidR="00194962">
        <w:rPr>
          <w:bCs/>
        </w:rPr>
        <w:t>П</w:t>
      </w:r>
      <w:r w:rsidR="006C19AF">
        <w:rPr>
          <w:bCs/>
        </w:rPr>
        <w:t>рирод</w:t>
      </w:r>
      <w:r w:rsidR="00194962">
        <w:rPr>
          <w:bCs/>
        </w:rPr>
        <w:t>а</w:t>
      </w:r>
      <w:r w:rsidR="002D1BA1">
        <w:rPr>
          <w:bCs/>
        </w:rPr>
        <w:t xml:space="preserve"> сшивающего агента</w:t>
      </w:r>
      <w:r w:rsidR="00194962">
        <w:rPr>
          <w:bCs/>
        </w:rPr>
        <w:t xml:space="preserve"> обусловливает отличия в структур</w:t>
      </w:r>
      <w:r w:rsidR="00196294">
        <w:rPr>
          <w:bCs/>
        </w:rPr>
        <w:t>е полимерной матрицы катионитов</w:t>
      </w:r>
      <w:r w:rsidR="00BA131B">
        <w:rPr>
          <w:bCs/>
        </w:rPr>
        <w:t xml:space="preserve"> </w:t>
      </w:r>
      <w:r w:rsidR="00196294">
        <w:rPr>
          <w:bCs/>
        </w:rPr>
        <w:t>(</w:t>
      </w:r>
      <w:r w:rsidR="00194962">
        <w:rPr>
          <w:bCs/>
        </w:rPr>
        <w:t xml:space="preserve">КБ-2Э-16 – </w:t>
      </w:r>
      <w:proofErr w:type="spellStart"/>
      <w:r w:rsidR="00194962">
        <w:rPr>
          <w:bCs/>
        </w:rPr>
        <w:t>макросетчатая</w:t>
      </w:r>
      <w:proofErr w:type="spellEnd"/>
      <w:r w:rsidR="00194962">
        <w:rPr>
          <w:bCs/>
        </w:rPr>
        <w:t xml:space="preserve">, Токем-250 </w:t>
      </w:r>
      <w:r w:rsidR="002958FF">
        <w:rPr>
          <w:bCs/>
        </w:rPr>
        <w:noBreakHyphen/>
      </w:r>
      <w:r w:rsidR="00BA131B">
        <w:rPr>
          <w:bCs/>
        </w:rPr>
        <w:t xml:space="preserve"> </w:t>
      </w:r>
      <w:proofErr w:type="spellStart"/>
      <w:r w:rsidR="00194962" w:rsidRPr="00194962">
        <w:rPr>
          <w:bCs/>
        </w:rPr>
        <w:t>гелевая</w:t>
      </w:r>
      <w:proofErr w:type="spellEnd"/>
      <w:r w:rsidR="00196294">
        <w:rPr>
          <w:bCs/>
        </w:rPr>
        <w:t>)</w:t>
      </w:r>
      <w:r w:rsidR="00194962">
        <w:rPr>
          <w:bCs/>
        </w:rPr>
        <w:t>, и, как следствие, в избирательности сорбции и четкости границ хроматографических зон ионов в слое сорбента.</w:t>
      </w:r>
      <w:r w:rsidR="00BA131B">
        <w:rPr>
          <w:bCs/>
        </w:rPr>
        <w:t xml:space="preserve"> </w:t>
      </w:r>
      <w:r w:rsidR="00E00A80">
        <w:rPr>
          <w:bCs/>
          <w:color w:val="000000"/>
        </w:rPr>
        <w:t>Для достижения поставленной цели необходим</w:t>
      </w:r>
      <w:r w:rsidR="00194962">
        <w:rPr>
          <w:bCs/>
          <w:color w:val="000000"/>
        </w:rPr>
        <w:t>ы</w:t>
      </w:r>
      <w:r w:rsidR="00E00A80">
        <w:rPr>
          <w:bCs/>
          <w:color w:val="000000"/>
        </w:rPr>
        <w:t xml:space="preserve"> количественные характеристики избирательности сорбции ионов марганца</w:t>
      </w:r>
      <w:r w:rsidR="00E00A80" w:rsidRPr="00E00A80">
        <w:rPr>
          <w:bCs/>
          <w:color w:val="000000"/>
        </w:rPr>
        <w:t>(</w:t>
      </w:r>
      <w:r w:rsidR="00E00A80">
        <w:rPr>
          <w:bCs/>
          <w:color w:val="000000"/>
          <w:lang w:val="en-US"/>
        </w:rPr>
        <w:t>II</w:t>
      </w:r>
      <w:r w:rsidR="00E00A80" w:rsidRPr="00E00A80">
        <w:rPr>
          <w:bCs/>
          <w:color w:val="000000"/>
        </w:rPr>
        <w:t>)</w:t>
      </w:r>
      <w:r w:rsidR="00E00A80">
        <w:rPr>
          <w:bCs/>
          <w:color w:val="000000"/>
        </w:rPr>
        <w:t xml:space="preserve"> </w:t>
      </w:r>
      <w:r w:rsidR="00D85E4A">
        <w:rPr>
          <w:bCs/>
          <w:color w:val="000000"/>
        </w:rPr>
        <w:t>из растворов</w:t>
      </w:r>
      <w:r w:rsidR="00E00A80">
        <w:rPr>
          <w:bCs/>
          <w:color w:val="000000"/>
        </w:rPr>
        <w:t xml:space="preserve"> в статических и динамических условиях</w:t>
      </w:r>
      <w:r w:rsidR="00404840">
        <w:rPr>
          <w:bCs/>
          <w:color w:val="000000"/>
        </w:rPr>
        <w:t>,</w:t>
      </w:r>
      <w:r w:rsidR="00BA131B">
        <w:rPr>
          <w:bCs/>
          <w:color w:val="000000"/>
        </w:rPr>
        <w:t xml:space="preserve"> </w:t>
      </w:r>
      <w:r w:rsidR="00194962">
        <w:rPr>
          <w:bCs/>
          <w:color w:val="000000"/>
        </w:rPr>
        <w:t>позволяющие</w:t>
      </w:r>
      <w:r w:rsidR="00E00A80">
        <w:rPr>
          <w:bCs/>
          <w:color w:val="000000"/>
        </w:rPr>
        <w:t xml:space="preserve"> выбрать катионит для заполнения индикаторной трубки и разработать методику визуального </w:t>
      </w:r>
      <w:proofErr w:type="gramStart"/>
      <w:r w:rsidR="00E00A80">
        <w:rPr>
          <w:bCs/>
          <w:color w:val="000000"/>
        </w:rPr>
        <w:t>экспресс-определения</w:t>
      </w:r>
      <w:proofErr w:type="gramEnd"/>
      <w:r w:rsidR="009D4326">
        <w:rPr>
          <w:bCs/>
          <w:color w:val="000000"/>
        </w:rPr>
        <w:t xml:space="preserve"> </w:t>
      </w:r>
      <w:proofErr w:type="spellStart"/>
      <w:r w:rsidR="00E00A80" w:rsidRPr="00DF4DCA">
        <w:rPr>
          <w:bdr w:val="none" w:sz="0" w:space="0" w:color="auto" w:frame="1"/>
          <w:lang w:val="en-US"/>
        </w:rPr>
        <w:t>Mn</w:t>
      </w:r>
      <w:proofErr w:type="spellEnd"/>
      <w:r w:rsidR="00E00A80" w:rsidRPr="00DF4DCA">
        <w:rPr>
          <w:bdr w:val="none" w:sz="0" w:space="0" w:color="auto" w:frame="1"/>
          <w:vertAlign w:val="superscript"/>
        </w:rPr>
        <w:t>2+</w:t>
      </w:r>
      <w:r w:rsidR="00DF4DCA">
        <w:rPr>
          <w:bCs/>
          <w:color w:val="000000"/>
        </w:rPr>
        <w:t>.</w:t>
      </w:r>
    </w:p>
    <w:p w:rsidR="00227C04" w:rsidRDefault="00FB4E90" w:rsidP="00416A9F">
      <w:pPr>
        <w:autoSpaceDE w:val="0"/>
        <w:autoSpaceDN w:val="0"/>
        <w:adjustRightInd w:val="0"/>
        <w:spacing w:after="0" w:line="240" w:lineRule="auto"/>
        <w:ind w:firstLine="425"/>
        <w:jc w:val="both"/>
        <w:rPr>
          <w:rFonts w:ascii="Times New Roman" w:hAnsi="Times New Roman" w:cs="Times New Roman"/>
          <w:sz w:val="24"/>
          <w:szCs w:val="24"/>
        </w:rPr>
      </w:pPr>
      <w:r w:rsidRPr="00FB4E90">
        <w:rPr>
          <w:rStyle w:val="apple-converted-space"/>
          <w:rFonts w:ascii="Times New Roman" w:hAnsi="Times New Roman" w:cs="Times New Roman"/>
          <w:b/>
          <w:color w:val="000000"/>
          <w:sz w:val="24"/>
          <w:szCs w:val="24"/>
          <w:shd w:val="clear" w:color="auto" w:fill="FFFFFF"/>
        </w:rPr>
        <w:t>М</w:t>
      </w:r>
      <w:r w:rsidRPr="00FB4E90">
        <w:rPr>
          <w:rFonts w:ascii="Times New Roman" w:hAnsi="Times New Roman" w:cs="Times New Roman"/>
          <w:b/>
          <w:color w:val="000000"/>
          <w:sz w:val="24"/>
          <w:szCs w:val="24"/>
          <w:shd w:val="clear" w:color="auto" w:fill="FFFFFF"/>
        </w:rPr>
        <w:t>етоды исследования</w:t>
      </w:r>
      <w:r>
        <w:rPr>
          <w:rFonts w:ascii="Times New Roman" w:hAnsi="Times New Roman" w:cs="Times New Roman"/>
          <w:b/>
          <w:color w:val="000000"/>
          <w:sz w:val="24"/>
          <w:szCs w:val="24"/>
          <w:shd w:val="clear" w:color="auto" w:fill="FFFFFF"/>
        </w:rPr>
        <w:t xml:space="preserve">. </w:t>
      </w:r>
      <w:r w:rsidR="00227C04">
        <w:rPr>
          <w:rFonts w:ascii="Times New Roman" w:hAnsi="Times New Roman" w:cs="Times New Roman"/>
          <w:sz w:val="24"/>
          <w:szCs w:val="24"/>
        </w:rPr>
        <w:t>Определение</w:t>
      </w:r>
      <w:r w:rsidR="009D4326">
        <w:rPr>
          <w:rFonts w:ascii="Times New Roman" w:hAnsi="Times New Roman" w:cs="Times New Roman"/>
          <w:sz w:val="24"/>
          <w:szCs w:val="24"/>
        </w:rPr>
        <w:t xml:space="preserve"> </w:t>
      </w:r>
      <w:r w:rsidR="00227C04">
        <w:rPr>
          <w:rFonts w:ascii="Times New Roman" w:eastAsia="TimesNewRomanPSMT" w:hAnsi="Times New Roman" w:cs="Times New Roman"/>
          <w:sz w:val="24"/>
          <w:szCs w:val="24"/>
        </w:rPr>
        <w:t>полной обменной емкости (ПОЕ)</w:t>
      </w:r>
      <w:r w:rsidR="00227C04" w:rsidRPr="002958FF">
        <w:rPr>
          <w:rFonts w:ascii="Times New Roman" w:eastAsia="TimesNewRomanPSMT" w:hAnsi="Times New Roman" w:cs="Times New Roman"/>
          <w:sz w:val="24"/>
          <w:szCs w:val="24"/>
        </w:rPr>
        <w:t xml:space="preserve">, </w:t>
      </w:r>
      <w:r w:rsidR="00227C04">
        <w:rPr>
          <w:rFonts w:ascii="Times New Roman" w:eastAsia="TimesNewRomanPSMT" w:hAnsi="Times New Roman" w:cs="Times New Roman"/>
          <w:sz w:val="24"/>
          <w:szCs w:val="24"/>
        </w:rPr>
        <w:t xml:space="preserve">сорбционной емкости по ионам </w:t>
      </w:r>
      <w:proofErr w:type="spellStart"/>
      <w:r w:rsidR="00227C04">
        <w:rPr>
          <w:rFonts w:ascii="Times New Roman" w:eastAsia="TimesNewRomanPSMT" w:hAnsi="Times New Roman" w:cs="Times New Roman"/>
          <w:sz w:val="24"/>
          <w:szCs w:val="24"/>
          <w:lang w:val="en-US"/>
        </w:rPr>
        <w:t>Mn</w:t>
      </w:r>
      <w:proofErr w:type="spellEnd"/>
      <w:r w:rsidR="00227C04" w:rsidRPr="00227C04">
        <w:rPr>
          <w:rFonts w:ascii="Times New Roman" w:eastAsia="TimesNewRomanPSMT" w:hAnsi="Times New Roman" w:cs="Times New Roman"/>
          <w:sz w:val="24"/>
          <w:szCs w:val="24"/>
          <w:vertAlign w:val="superscript"/>
        </w:rPr>
        <w:t>2+</w:t>
      </w:r>
      <w:r w:rsidR="009D4326">
        <w:rPr>
          <w:rFonts w:ascii="Times New Roman" w:eastAsia="TimesNewRomanPSMT" w:hAnsi="Times New Roman" w:cs="Times New Roman"/>
          <w:sz w:val="24"/>
          <w:szCs w:val="24"/>
        </w:rPr>
        <w:t xml:space="preserve"> </w:t>
      </w:r>
      <w:r w:rsidR="00227C04">
        <w:rPr>
          <w:rFonts w:ascii="Times New Roman" w:hAnsi="Times New Roman" w:cs="Times New Roman"/>
          <w:sz w:val="24"/>
          <w:szCs w:val="24"/>
        </w:rPr>
        <w:t xml:space="preserve">(СЕ) </w:t>
      </w:r>
      <w:r w:rsidR="00227C04" w:rsidRPr="002958FF">
        <w:rPr>
          <w:rFonts w:ascii="Times New Roman" w:hAnsi="Times New Roman" w:cs="Times New Roman"/>
          <w:sz w:val="24"/>
          <w:szCs w:val="24"/>
        </w:rPr>
        <w:t>и влаго</w:t>
      </w:r>
      <w:r w:rsidR="00227C04" w:rsidRPr="00306C83">
        <w:rPr>
          <w:rFonts w:ascii="Times New Roman" w:hAnsi="Times New Roman" w:cs="Times New Roman"/>
          <w:sz w:val="24"/>
          <w:szCs w:val="24"/>
        </w:rPr>
        <w:t>содержания</w:t>
      </w:r>
      <w:r w:rsidR="009D4326">
        <w:rPr>
          <w:rFonts w:ascii="Times New Roman" w:hAnsi="Times New Roman" w:cs="Times New Roman"/>
          <w:sz w:val="24"/>
          <w:szCs w:val="24"/>
        </w:rPr>
        <w:t xml:space="preserve"> </w:t>
      </w:r>
      <w:r w:rsidR="00227C04">
        <w:rPr>
          <w:rFonts w:ascii="Times New Roman" w:hAnsi="Times New Roman" w:cs="Times New Roman"/>
          <w:sz w:val="24"/>
          <w:szCs w:val="24"/>
        </w:rPr>
        <w:t>катионитов Токем-250 и КБ-2Э-16 прово</w:t>
      </w:r>
      <w:r w:rsidR="00227C04" w:rsidRPr="00306C83">
        <w:rPr>
          <w:rFonts w:ascii="Times New Roman" w:hAnsi="Times New Roman" w:cs="Times New Roman"/>
          <w:sz w:val="24"/>
          <w:szCs w:val="24"/>
        </w:rPr>
        <w:t>д</w:t>
      </w:r>
      <w:r w:rsidR="00227C04">
        <w:rPr>
          <w:rFonts w:ascii="Times New Roman" w:hAnsi="Times New Roman" w:cs="Times New Roman"/>
          <w:sz w:val="24"/>
          <w:szCs w:val="24"/>
        </w:rPr>
        <w:t>или</w:t>
      </w:r>
      <w:r w:rsidR="00227C04" w:rsidRPr="00306C83">
        <w:rPr>
          <w:rFonts w:ascii="Times New Roman" w:hAnsi="Times New Roman" w:cs="Times New Roman"/>
          <w:sz w:val="24"/>
          <w:szCs w:val="24"/>
        </w:rPr>
        <w:t xml:space="preserve"> по стандартным </w:t>
      </w:r>
      <w:r w:rsidR="00227C04">
        <w:rPr>
          <w:rFonts w:ascii="Times New Roman" w:hAnsi="Times New Roman" w:cs="Times New Roman"/>
          <w:sz w:val="24"/>
          <w:szCs w:val="24"/>
        </w:rPr>
        <w:t xml:space="preserve">методикам. </w:t>
      </w:r>
    </w:p>
    <w:p w:rsidR="006A6326" w:rsidRDefault="006A6326" w:rsidP="00067AB0">
      <w:pPr>
        <w:autoSpaceDE w:val="0"/>
        <w:autoSpaceDN w:val="0"/>
        <w:adjustRightInd w:val="0"/>
        <w:spacing w:after="0" w:line="240" w:lineRule="auto"/>
        <w:ind w:firstLine="708"/>
        <w:jc w:val="both"/>
        <w:rPr>
          <w:rFonts w:ascii="Times New Roman" w:eastAsia="ArialMT" w:hAnsi="Times New Roman" w:cs="Times New Roman"/>
          <w:sz w:val="24"/>
          <w:szCs w:val="24"/>
        </w:rPr>
      </w:pPr>
      <w:r w:rsidRPr="006A6326">
        <w:rPr>
          <w:rFonts w:ascii="Times New Roman" w:eastAsia="ArialMT" w:hAnsi="Times New Roman" w:cs="Times New Roman"/>
          <w:sz w:val="24"/>
          <w:szCs w:val="24"/>
        </w:rPr>
        <w:t xml:space="preserve">Сорбцию </w:t>
      </w:r>
      <w:proofErr w:type="spellStart"/>
      <w:r>
        <w:rPr>
          <w:rFonts w:ascii="Times New Roman" w:eastAsia="ArialMT" w:hAnsi="Times New Roman" w:cs="Times New Roman"/>
          <w:sz w:val="24"/>
          <w:szCs w:val="24"/>
          <w:lang w:val="en-US"/>
        </w:rPr>
        <w:t>Mn</w:t>
      </w:r>
      <w:proofErr w:type="spellEnd"/>
      <w:r w:rsidRPr="006A6326">
        <w:rPr>
          <w:rFonts w:ascii="Times New Roman" w:eastAsia="ArialMT" w:hAnsi="Times New Roman" w:cs="Times New Roman"/>
          <w:sz w:val="24"/>
          <w:szCs w:val="24"/>
          <w:vertAlign w:val="superscript"/>
        </w:rPr>
        <w:t>2+</w:t>
      </w:r>
      <w:r w:rsidRPr="006A6326">
        <w:rPr>
          <w:rFonts w:ascii="Times New Roman" w:eastAsia="ArialMT" w:hAnsi="Times New Roman" w:cs="Times New Roman"/>
          <w:sz w:val="24"/>
          <w:szCs w:val="24"/>
        </w:rPr>
        <w:t xml:space="preserve"> в статических условиях </w:t>
      </w:r>
      <w:r w:rsidR="00227C04">
        <w:rPr>
          <w:rFonts w:ascii="Times New Roman" w:eastAsia="ArialMT" w:hAnsi="Times New Roman" w:cs="Times New Roman"/>
          <w:sz w:val="24"/>
          <w:szCs w:val="24"/>
        </w:rPr>
        <w:t>изучали</w:t>
      </w:r>
      <w:r w:rsidRPr="006A6326">
        <w:rPr>
          <w:rFonts w:ascii="Times New Roman" w:eastAsia="ArialMT" w:hAnsi="Times New Roman" w:cs="Times New Roman"/>
          <w:sz w:val="24"/>
          <w:szCs w:val="24"/>
        </w:rPr>
        <w:t xml:space="preserve"> на</w:t>
      </w:r>
      <w:r w:rsidR="009D4326">
        <w:rPr>
          <w:rFonts w:ascii="Times New Roman" w:eastAsia="ArialMT" w:hAnsi="Times New Roman" w:cs="Times New Roman"/>
          <w:sz w:val="24"/>
          <w:szCs w:val="24"/>
        </w:rPr>
        <w:t xml:space="preserve"> </w:t>
      </w:r>
      <w:r w:rsidRPr="006A6326">
        <w:rPr>
          <w:rFonts w:ascii="Times New Roman" w:eastAsia="ArialMT" w:hAnsi="Times New Roman" w:cs="Times New Roman"/>
          <w:sz w:val="24"/>
          <w:szCs w:val="24"/>
        </w:rPr>
        <w:t xml:space="preserve">Na-форме катионитов КБ-2Э-16 и </w:t>
      </w:r>
      <w:r>
        <w:rPr>
          <w:rFonts w:ascii="Times New Roman" w:eastAsia="ArialMT" w:hAnsi="Times New Roman" w:cs="Times New Roman"/>
          <w:sz w:val="24"/>
          <w:szCs w:val="24"/>
        </w:rPr>
        <w:t>Токем-250</w:t>
      </w:r>
      <w:r w:rsidRPr="006A6326">
        <w:rPr>
          <w:rFonts w:ascii="Times New Roman" w:eastAsia="ArialMT" w:hAnsi="Times New Roman" w:cs="Times New Roman"/>
          <w:sz w:val="24"/>
          <w:szCs w:val="24"/>
        </w:rPr>
        <w:t xml:space="preserve"> из растворов нитратов с рН</w:t>
      </w:r>
      <w:r>
        <w:rPr>
          <w:rFonts w:ascii="Times New Roman" w:eastAsia="ArialMT" w:hAnsi="Times New Roman" w:cs="Times New Roman"/>
          <w:sz w:val="24"/>
          <w:szCs w:val="24"/>
        </w:rPr>
        <w:t>~ 4,</w:t>
      </w:r>
      <w:r w:rsidRPr="006A6326">
        <w:rPr>
          <w:rFonts w:ascii="Times New Roman" w:eastAsia="ArialMT" w:hAnsi="Times New Roman" w:cs="Times New Roman"/>
          <w:sz w:val="24"/>
          <w:szCs w:val="24"/>
        </w:rPr>
        <w:t xml:space="preserve">5 в интервале концентраций ионов </w:t>
      </w:r>
      <w:r>
        <w:rPr>
          <w:rFonts w:ascii="Times New Roman" w:eastAsia="ArialMT" w:hAnsi="Times New Roman" w:cs="Times New Roman"/>
          <w:sz w:val="24"/>
          <w:szCs w:val="24"/>
        </w:rPr>
        <w:t>(1 ÷ 6</w:t>
      </w:r>
      <w:r w:rsidRPr="006A6326">
        <w:rPr>
          <w:rFonts w:ascii="Times New Roman" w:eastAsia="ArialMT" w:hAnsi="Times New Roman" w:cs="Times New Roman"/>
          <w:sz w:val="24"/>
          <w:szCs w:val="24"/>
        </w:rPr>
        <w:t>)·10</w:t>
      </w:r>
      <w:r w:rsidRPr="009D4326">
        <w:rPr>
          <w:rFonts w:ascii="Times New Roman" w:eastAsia="ArialMT" w:hAnsi="Times New Roman" w:cs="Times New Roman"/>
          <w:sz w:val="24"/>
          <w:szCs w:val="24"/>
          <w:vertAlign w:val="superscript"/>
        </w:rPr>
        <w:t>–3</w:t>
      </w:r>
      <w:r w:rsidR="009D4326">
        <w:rPr>
          <w:rFonts w:ascii="Times New Roman" w:eastAsia="ArialMT" w:hAnsi="Times New Roman" w:cs="Times New Roman"/>
          <w:sz w:val="24"/>
          <w:szCs w:val="24"/>
        </w:rPr>
        <w:t xml:space="preserve"> </w:t>
      </w:r>
      <w:r w:rsidRPr="009D4326">
        <w:rPr>
          <w:rFonts w:ascii="Times New Roman" w:eastAsia="ArialMT" w:hAnsi="Times New Roman" w:cs="Times New Roman"/>
          <w:sz w:val="24"/>
          <w:szCs w:val="24"/>
        </w:rPr>
        <w:t>моль</w:t>
      </w:r>
      <w:r w:rsidRPr="006A6326">
        <w:rPr>
          <w:rFonts w:ascii="Times New Roman" w:eastAsia="ArialMT" w:hAnsi="Times New Roman" w:cs="Times New Roman"/>
          <w:sz w:val="24"/>
          <w:szCs w:val="24"/>
        </w:rPr>
        <w:t xml:space="preserve">/л. Ионную силу растворов поддерживали </w:t>
      </w:r>
      <w:r w:rsidR="000509BF">
        <w:rPr>
          <w:rFonts w:ascii="Times New Roman" w:eastAsia="ArialMT" w:hAnsi="Times New Roman" w:cs="Times New Roman"/>
          <w:sz w:val="24"/>
          <w:szCs w:val="24"/>
        </w:rPr>
        <w:t>постоянной</w:t>
      </w:r>
      <w:r w:rsidR="009D4326">
        <w:rPr>
          <w:rFonts w:ascii="Times New Roman" w:eastAsia="ArialMT" w:hAnsi="Times New Roman" w:cs="Times New Roman"/>
          <w:sz w:val="24"/>
          <w:szCs w:val="24"/>
        </w:rPr>
        <w:t xml:space="preserve"> </w:t>
      </w:r>
      <w:r w:rsidRPr="006A6326">
        <w:rPr>
          <w:rFonts w:ascii="Times New Roman" w:eastAsia="ArialMT" w:hAnsi="Times New Roman" w:cs="Times New Roman"/>
          <w:sz w:val="24"/>
          <w:szCs w:val="24"/>
        </w:rPr>
        <w:t xml:space="preserve">добавлением </w:t>
      </w:r>
      <w:proofErr w:type="spellStart"/>
      <w:r w:rsidRPr="006A6326">
        <w:rPr>
          <w:rFonts w:ascii="Times New Roman" w:hAnsi="Times New Roman" w:cs="Times New Roman"/>
          <w:sz w:val="24"/>
          <w:szCs w:val="24"/>
          <w:lang w:val="en-US"/>
        </w:rPr>
        <w:t>NaNO</w:t>
      </w:r>
      <w:proofErr w:type="spellEnd"/>
      <w:r w:rsidRPr="006A6326">
        <w:rPr>
          <w:rFonts w:ascii="Times New Roman" w:hAnsi="Times New Roman" w:cs="Times New Roman"/>
          <w:sz w:val="24"/>
          <w:szCs w:val="24"/>
          <w:vertAlign w:val="subscript"/>
        </w:rPr>
        <w:t>3</w:t>
      </w:r>
      <w:r w:rsidRPr="006A6326">
        <w:rPr>
          <w:rFonts w:ascii="Times New Roman" w:eastAsia="ArialMT" w:hAnsi="Times New Roman" w:cs="Times New Roman"/>
          <w:i/>
          <w:sz w:val="24"/>
          <w:szCs w:val="24"/>
        </w:rPr>
        <w:t>.</w:t>
      </w:r>
      <w:r w:rsidRPr="006A6326">
        <w:rPr>
          <w:rFonts w:ascii="Times New Roman" w:eastAsia="ArialMT" w:hAnsi="Times New Roman" w:cs="Times New Roman"/>
          <w:sz w:val="24"/>
          <w:szCs w:val="24"/>
        </w:rPr>
        <w:t xml:space="preserve"> Концентрацию </w:t>
      </w:r>
      <w:proofErr w:type="spellStart"/>
      <w:r>
        <w:rPr>
          <w:rFonts w:ascii="Times New Roman" w:eastAsia="ArialMT" w:hAnsi="Times New Roman" w:cs="Times New Roman"/>
          <w:sz w:val="24"/>
          <w:szCs w:val="24"/>
          <w:lang w:val="en-US"/>
        </w:rPr>
        <w:t>Mn</w:t>
      </w:r>
      <w:proofErr w:type="spellEnd"/>
      <w:r w:rsidRPr="006A6326">
        <w:rPr>
          <w:rFonts w:ascii="Times New Roman" w:eastAsia="ArialMT" w:hAnsi="Times New Roman" w:cs="Times New Roman"/>
          <w:sz w:val="24"/>
          <w:szCs w:val="24"/>
          <w:vertAlign w:val="superscript"/>
        </w:rPr>
        <w:t>2+</w:t>
      </w:r>
      <w:r w:rsidRPr="006A6326">
        <w:rPr>
          <w:rFonts w:ascii="Times New Roman" w:eastAsia="ArialMT" w:hAnsi="Times New Roman" w:cs="Times New Roman"/>
          <w:sz w:val="24"/>
          <w:szCs w:val="24"/>
        </w:rPr>
        <w:t xml:space="preserve"> в равновесных растворах определяли </w:t>
      </w:r>
      <w:proofErr w:type="spellStart"/>
      <w:r w:rsidRPr="006A6326">
        <w:rPr>
          <w:rFonts w:ascii="Times New Roman" w:eastAsia="ArialMT" w:hAnsi="Times New Roman" w:cs="Times New Roman"/>
          <w:sz w:val="24"/>
          <w:szCs w:val="24"/>
        </w:rPr>
        <w:t>спектрофотометрически</w:t>
      </w:r>
      <w:proofErr w:type="spellEnd"/>
      <w:r w:rsidRPr="006A6326">
        <w:rPr>
          <w:rFonts w:ascii="Times New Roman" w:eastAsia="ArialMT" w:hAnsi="Times New Roman" w:cs="Times New Roman"/>
          <w:sz w:val="24"/>
          <w:szCs w:val="24"/>
        </w:rPr>
        <w:t xml:space="preserve"> с</w:t>
      </w:r>
      <w:r w:rsidR="000509BF">
        <w:rPr>
          <w:rFonts w:ascii="Times New Roman" w:eastAsia="ArialMT" w:hAnsi="Times New Roman" w:cs="Times New Roman"/>
          <w:sz w:val="24"/>
          <w:szCs w:val="24"/>
        </w:rPr>
        <w:t xml:space="preserve"> реагентом</w:t>
      </w:r>
      <w:r w:rsidR="00BA131B">
        <w:rPr>
          <w:rFonts w:ascii="Times New Roman" w:eastAsia="ArialMT" w:hAnsi="Times New Roman" w:cs="Times New Roman"/>
          <w:sz w:val="24"/>
          <w:szCs w:val="24"/>
        </w:rPr>
        <w:t xml:space="preserve"> </w:t>
      </w:r>
      <w:proofErr w:type="spellStart"/>
      <w:r w:rsidRPr="001B77CC">
        <w:rPr>
          <w:rFonts w:ascii="Times New Roman" w:eastAsia="ArialMT" w:hAnsi="Times New Roman" w:cs="Times New Roman"/>
          <w:sz w:val="24"/>
          <w:szCs w:val="24"/>
        </w:rPr>
        <w:t>формальдоксимом</w:t>
      </w:r>
      <w:proofErr w:type="spellEnd"/>
      <w:r w:rsidR="00185C4D" w:rsidRPr="001B77CC">
        <w:rPr>
          <w:rFonts w:ascii="Times New Roman" w:eastAsia="ArialMT" w:hAnsi="Times New Roman" w:cs="Times New Roman"/>
          <w:sz w:val="24"/>
          <w:szCs w:val="24"/>
        </w:rPr>
        <w:t xml:space="preserve"> </w:t>
      </w:r>
      <w:r w:rsidRPr="001B77CC">
        <w:rPr>
          <w:rFonts w:ascii="Times New Roman" w:eastAsia="ArialMT" w:hAnsi="Times New Roman" w:cs="Times New Roman"/>
          <w:sz w:val="24"/>
          <w:szCs w:val="24"/>
        </w:rPr>
        <w:t>[</w:t>
      </w:r>
      <w:r w:rsidR="005D61B8" w:rsidRPr="00EB768F">
        <w:rPr>
          <w:rFonts w:ascii="Times New Roman" w:eastAsia="ArialMT" w:hAnsi="Times New Roman" w:cs="Times New Roman"/>
          <w:sz w:val="24"/>
          <w:szCs w:val="24"/>
        </w:rPr>
        <w:t>3</w:t>
      </w:r>
      <w:r w:rsidRPr="001B77CC">
        <w:rPr>
          <w:rFonts w:ascii="Times New Roman" w:eastAsia="ArialMT" w:hAnsi="Times New Roman" w:cs="Times New Roman"/>
          <w:sz w:val="24"/>
          <w:szCs w:val="24"/>
        </w:rPr>
        <w:t>]</w:t>
      </w:r>
      <w:r w:rsidRPr="006A6326">
        <w:rPr>
          <w:rFonts w:ascii="Times New Roman" w:eastAsia="ArialMT" w:hAnsi="Times New Roman" w:cs="Times New Roman"/>
          <w:sz w:val="24"/>
          <w:szCs w:val="24"/>
        </w:rPr>
        <w:t xml:space="preserve"> на спектрофотометре «</w:t>
      </w:r>
      <w:r w:rsidRPr="006A6326">
        <w:rPr>
          <w:rFonts w:ascii="Times New Roman" w:eastAsia="ArialMT" w:hAnsi="Times New Roman" w:cs="Times New Roman"/>
          <w:sz w:val="24"/>
          <w:szCs w:val="24"/>
          <w:lang w:val="en-US"/>
        </w:rPr>
        <w:t>LEKISS</w:t>
      </w:r>
      <w:r w:rsidRPr="006A6326">
        <w:rPr>
          <w:rFonts w:ascii="Times New Roman" w:eastAsia="ArialMT" w:hAnsi="Times New Roman" w:cs="Times New Roman"/>
          <w:sz w:val="24"/>
          <w:szCs w:val="24"/>
        </w:rPr>
        <w:t>2107</w:t>
      </w:r>
      <w:r w:rsidRPr="006A6326">
        <w:rPr>
          <w:rFonts w:ascii="Times New Roman" w:eastAsia="ArialMT" w:hAnsi="Times New Roman" w:cs="Times New Roman"/>
          <w:sz w:val="24"/>
          <w:szCs w:val="24"/>
          <w:lang w:val="en-US"/>
        </w:rPr>
        <w:t>UV</w:t>
      </w:r>
      <w:r w:rsidRPr="006A6326">
        <w:rPr>
          <w:rFonts w:ascii="Times New Roman" w:eastAsia="ArialMT" w:hAnsi="Times New Roman" w:cs="Times New Roman"/>
          <w:sz w:val="24"/>
          <w:szCs w:val="24"/>
        </w:rPr>
        <w:t xml:space="preserve">». </w:t>
      </w:r>
    </w:p>
    <w:p w:rsidR="006A6326" w:rsidRPr="00BA131B" w:rsidRDefault="006A6326" w:rsidP="00BA131B">
      <w:pPr>
        <w:autoSpaceDE w:val="0"/>
        <w:autoSpaceDN w:val="0"/>
        <w:adjustRightInd w:val="0"/>
        <w:spacing w:after="0" w:line="240" w:lineRule="auto"/>
        <w:ind w:firstLine="709"/>
        <w:jc w:val="both"/>
        <w:rPr>
          <w:rFonts w:ascii="Times New Roman" w:hAnsi="Times New Roman" w:cs="Times New Roman"/>
          <w:sz w:val="24"/>
          <w:szCs w:val="24"/>
        </w:rPr>
      </w:pPr>
      <w:r w:rsidRPr="006A6326">
        <w:rPr>
          <w:rFonts w:ascii="Times New Roman" w:hAnsi="Times New Roman" w:cs="Times New Roman"/>
          <w:sz w:val="24"/>
          <w:szCs w:val="24"/>
        </w:rPr>
        <w:t xml:space="preserve">Динамику сорбции исследовали методом построения выходных кривых ионов </w:t>
      </w:r>
      <w:proofErr w:type="spellStart"/>
      <w:r>
        <w:rPr>
          <w:rFonts w:ascii="Times New Roman" w:eastAsia="ArialMT" w:hAnsi="Times New Roman" w:cs="Times New Roman"/>
          <w:sz w:val="24"/>
          <w:szCs w:val="24"/>
          <w:lang w:val="en-US"/>
        </w:rPr>
        <w:t>Mn</w:t>
      </w:r>
      <w:proofErr w:type="spellEnd"/>
      <w:r w:rsidRPr="006A6326">
        <w:rPr>
          <w:rFonts w:ascii="Times New Roman" w:eastAsia="ArialMT" w:hAnsi="Times New Roman" w:cs="Times New Roman"/>
          <w:sz w:val="24"/>
          <w:szCs w:val="24"/>
          <w:vertAlign w:val="superscript"/>
        </w:rPr>
        <w:t>2+</w:t>
      </w:r>
      <w:r w:rsidR="009D4326">
        <w:rPr>
          <w:rFonts w:ascii="Times New Roman" w:eastAsia="ArialMT" w:hAnsi="Times New Roman" w:cs="Times New Roman"/>
          <w:sz w:val="24"/>
          <w:szCs w:val="24"/>
        </w:rPr>
        <w:t xml:space="preserve"> </w:t>
      </w:r>
      <w:r w:rsidRPr="006A6326">
        <w:rPr>
          <w:rFonts w:ascii="Times New Roman" w:hAnsi="Times New Roman" w:cs="Times New Roman"/>
          <w:sz w:val="24"/>
          <w:szCs w:val="24"/>
        </w:rPr>
        <w:t xml:space="preserve">на </w:t>
      </w:r>
      <w:r w:rsidRPr="006A6326">
        <w:rPr>
          <w:rFonts w:ascii="Times New Roman" w:hAnsi="Times New Roman" w:cs="Times New Roman"/>
          <w:sz w:val="24"/>
          <w:szCs w:val="24"/>
          <w:lang w:val="en-US"/>
        </w:rPr>
        <w:t>Na</w:t>
      </w:r>
      <w:r w:rsidRPr="006A6326">
        <w:rPr>
          <w:rFonts w:ascii="Times New Roman" w:hAnsi="Times New Roman" w:cs="Times New Roman"/>
          <w:sz w:val="24"/>
          <w:szCs w:val="24"/>
        </w:rPr>
        <w:t xml:space="preserve">-форме катионитов КБ-2Э-16 и </w:t>
      </w:r>
      <w:r>
        <w:rPr>
          <w:rFonts w:ascii="Times New Roman" w:hAnsi="Times New Roman" w:cs="Times New Roman"/>
          <w:sz w:val="24"/>
          <w:szCs w:val="24"/>
        </w:rPr>
        <w:t>Токем-250.</w:t>
      </w:r>
      <w:r w:rsidR="009D4326">
        <w:rPr>
          <w:rFonts w:ascii="Times New Roman" w:hAnsi="Times New Roman" w:cs="Times New Roman"/>
          <w:sz w:val="24"/>
          <w:szCs w:val="24"/>
        </w:rPr>
        <w:t xml:space="preserve"> </w:t>
      </w:r>
      <w:r w:rsidRPr="006A6326">
        <w:rPr>
          <w:rFonts w:ascii="Times New Roman" w:hAnsi="Times New Roman" w:cs="Times New Roman"/>
          <w:sz w:val="24"/>
          <w:szCs w:val="24"/>
        </w:rPr>
        <w:t>Скорость фильтрования раствора поддерживали постоянной с помощью перистальтического насоса «</w:t>
      </w:r>
      <w:r w:rsidRPr="006A6326">
        <w:rPr>
          <w:rFonts w:ascii="Times New Roman" w:hAnsi="Times New Roman" w:cs="Times New Roman"/>
          <w:sz w:val="24"/>
          <w:szCs w:val="24"/>
          <w:lang w:val="en-US"/>
        </w:rPr>
        <w:t>ZALIMP</w:t>
      </w:r>
      <w:r w:rsidRPr="006A6326">
        <w:rPr>
          <w:rFonts w:ascii="Times New Roman" w:hAnsi="Times New Roman" w:cs="Times New Roman"/>
          <w:sz w:val="24"/>
          <w:szCs w:val="24"/>
        </w:rPr>
        <w:t xml:space="preserve">». Сорбцию проводили из растворов </w:t>
      </w:r>
      <w:r>
        <w:rPr>
          <w:rFonts w:ascii="Times New Roman" w:hAnsi="Times New Roman" w:cs="Times New Roman"/>
          <w:sz w:val="24"/>
          <w:szCs w:val="24"/>
        </w:rPr>
        <w:t>хлоридов</w:t>
      </w:r>
      <w:r w:rsidR="009D4326">
        <w:rPr>
          <w:rFonts w:ascii="Times New Roman" w:hAnsi="Times New Roman" w:cs="Times New Roman"/>
          <w:sz w:val="24"/>
          <w:szCs w:val="24"/>
        </w:rPr>
        <w:t xml:space="preserve"> </w:t>
      </w:r>
      <w:proofErr w:type="spellStart"/>
      <w:r>
        <w:rPr>
          <w:rFonts w:ascii="Times New Roman" w:eastAsia="ArialMT" w:hAnsi="Times New Roman" w:cs="Times New Roman"/>
          <w:sz w:val="24"/>
          <w:szCs w:val="24"/>
          <w:lang w:val="en-US"/>
        </w:rPr>
        <w:t>Mn</w:t>
      </w:r>
      <w:proofErr w:type="spellEnd"/>
      <w:r w:rsidRPr="006A6326">
        <w:rPr>
          <w:rFonts w:ascii="Times New Roman" w:eastAsia="ArialMT" w:hAnsi="Times New Roman" w:cs="Times New Roman"/>
          <w:sz w:val="24"/>
          <w:szCs w:val="24"/>
          <w:vertAlign w:val="superscript"/>
        </w:rPr>
        <w:t>2+</w:t>
      </w:r>
      <w:r w:rsidRPr="006A6326">
        <w:rPr>
          <w:rFonts w:ascii="Times New Roman" w:hAnsi="Times New Roman" w:cs="Times New Roman"/>
          <w:sz w:val="24"/>
          <w:szCs w:val="24"/>
        </w:rPr>
        <w:t xml:space="preserve"> с начальной концентрацией 2∙10</w:t>
      </w:r>
      <w:r w:rsidRPr="006A6326">
        <w:rPr>
          <w:rFonts w:ascii="Times New Roman" w:hAnsi="Times New Roman" w:cs="Times New Roman"/>
          <w:sz w:val="24"/>
          <w:szCs w:val="24"/>
          <w:vertAlign w:val="superscript"/>
        </w:rPr>
        <w:t>–2</w:t>
      </w:r>
      <w:r w:rsidRPr="006A6326">
        <w:rPr>
          <w:rFonts w:ascii="Times New Roman" w:hAnsi="Times New Roman" w:cs="Times New Roman"/>
          <w:sz w:val="24"/>
          <w:szCs w:val="24"/>
        </w:rPr>
        <w:t xml:space="preserve"> моль/</w:t>
      </w:r>
      <w:proofErr w:type="gramStart"/>
      <w:r w:rsidRPr="006A6326">
        <w:rPr>
          <w:rFonts w:ascii="Times New Roman" w:hAnsi="Times New Roman" w:cs="Times New Roman"/>
          <w:sz w:val="24"/>
          <w:szCs w:val="24"/>
        </w:rPr>
        <w:t>л</w:t>
      </w:r>
      <w:proofErr w:type="gramEnd"/>
      <w:r w:rsidRPr="006A6326">
        <w:rPr>
          <w:rFonts w:ascii="Times New Roman" w:hAnsi="Times New Roman" w:cs="Times New Roman"/>
          <w:sz w:val="24"/>
          <w:szCs w:val="24"/>
        </w:rPr>
        <w:t xml:space="preserve">, </w:t>
      </w:r>
      <w:r w:rsidR="000509BF">
        <w:rPr>
          <w:rFonts w:ascii="Times New Roman" w:hAnsi="Times New Roman" w:cs="Times New Roman"/>
          <w:sz w:val="24"/>
          <w:szCs w:val="24"/>
        </w:rPr>
        <w:t>ионной силой 0,</w:t>
      </w:r>
      <w:r w:rsidR="000509BF" w:rsidRPr="006A6326">
        <w:rPr>
          <w:rFonts w:ascii="Times New Roman" w:hAnsi="Times New Roman" w:cs="Times New Roman"/>
          <w:sz w:val="24"/>
          <w:szCs w:val="24"/>
        </w:rPr>
        <w:t>1 (</w:t>
      </w:r>
      <w:proofErr w:type="spellStart"/>
      <w:r w:rsidR="000509BF">
        <w:rPr>
          <w:rFonts w:ascii="Times New Roman" w:hAnsi="Times New Roman" w:cs="Times New Roman"/>
          <w:sz w:val="24"/>
          <w:szCs w:val="24"/>
          <w:lang w:val="en-US"/>
        </w:rPr>
        <w:t>NaCl</w:t>
      </w:r>
      <w:proofErr w:type="spellEnd"/>
      <w:r w:rsidR="000509BF" w:rsidRPr="006A6326">
        <w:rPr>
          <w:rFonts w:ascii="Times New Roman" w:hAnsi="Times New Roman" w:cs="Times New Roman"/>
          <w:sz w:val="24"/>
          <w:szCs w:val="24"/>
        </w:rPr>
        <w:t>)</w:t>
      </w:r>
      <w:r w:rsidR="000509BF">
        <w:rPr>
          <w:rFonts w:ascii="Times New Roman" w:hAnsi="Times New Roman" w:cs="Times New Roman"/>
          <w:sz w:val="24"/>
          <w:szCs w:val="24"/>
        </w:rPr>
        <w:t xml:space="preserve">, </w:t>
      </w:r>
      <w:r w:rsidRPr="006A6326">
        <w:rPr>
          <w:rFonts w:ascii="Times New Roman" w:hAnsi="Times New Roman" w:cs="Times New Roman"/>
          <w:sz w:val="24"/>
          <w:szCs w:val="24"/>
        </w:rPr>
        <w:t>рН</w:t>
      </w:r>
      <w:r w:rsidR="000509BF">
        <w:rPr>
          <w:rFonts w:ascii="Times New Roman" w:hAnsi="Times New Roman" w:cs="Times New Roman"/>
          <w:sz w:val="24"/>
          <w:szCs w:val="24"/>
        </w:rPr>
        <w:t xml:space="preserve"> ~ 4,5</w:t>
      </w:r>
      <w:r w:rsidRPr="006A6326">
        <w:rPr>
          <w:rFonts w:ascii="Times New Roman" w:hAnsi="Times New Roman" w:cs="Times New Roman"/>
          <w:sz w:val="24"/>
          <w:szCs w:val="24"/>
        </w:rPr>
        <w:t xml:space="preserve">. Содержание </w:t>
      </w:r>
      <w:proofErr w:type="spellStart"/>
      <w:r>
        <w:rPr>
          <w:rFonts w:ascii="Times New Roman" w:eastAsia="ArialMT" w:hAnsi="Times New Roman" w:cs="Times New Roman"/>
          <w:sz w:val="24"/>
          <w:szCs w:val="24"/>
          <w:lang w:val="en-US"/>
        </w:rPr>
        <w:t>Mn</w:t>
      </w:r>
      <w:proofErr w:type="spellEnd"/>
      <w:r w:rsidRPr="006A6326">
        <w:rPr>
          <w:rFonts w:ascii="Times New Roman" w:eastAsia="ArialMT" w:hAnsi="Times New Roman" w:cs="Times New Roman"/>
          <w:sz w:val="24"/>
          <w:szCs w:val="24"/>
          <w:vertAlign w:val="superscript"/>
        </w:rPr>
        <w:t>2+</w:t>
      </w:r>
      <w:r w:rsidR="009D4326">
        <w:rPr>
          <w:rFonts w:ascii="Times New Roman" w:eastAsia="ArialMT" w:hAnsi="Times New Roman" w:cs="Times New Roman"/>
          <w:sz w:val="24"/>
          <w:szCs w:val="24"/>
        </w:rPr>
        <w:t xml:space="preserve"> </w:t>
      </w:r>
      <w:r w:rsidRPr="006A6326">
        <w:rPr>
          <w:rFonts w:ascii="Times New Roman" w:hAnsi="Times New Roman" w:cs="Times New Roman"/>
          <w:sz w:val="24"/>
          <w:szCs w:val="24"/>
        </w:rPr>
        <w:t>в порциях фильтрата определяли комплексонометрически. Выходные кривые</w:t>
      </w:r>
      <w:r w:rsidR="009D4326">
        <w:rPr>
          <w:rFonts w:ascii="Times New Roman" w:hAnsi="Times New Roman" w:cs="Times New Roman"/>
          <w:sz w:val="24"/>
          <w:szCs w:val="24"/>
        </w:rPr>
        <w:t xml:space="preserve"> </w:t>
      </w:r>
      <w:r w:rsidRPr="006A6326">
        <w:rPr>
          <w:rFonts w:ascii="Times New Roman" w:hAnsi="Times New Roman" w:cs="Times New Roman"/>
          <w:sz w:val="24"/>
          <w:szCs w:val="24"/>
        </w:rPr>
        <w:t xml:space="preserve">представляли </w:t>
      </w:r>
      <w:r w:rsidRPr="006A6326">
        <w:rPr>
          <w:rFonts w:ascii="Times New Roman" w:eastAsia="TimesNewRomanPSMT" w:hAnsi="Times New Roman" w:cs="Times New Roman"/>
          <w:sz w:val="24"/>
          <w:szCs w:val="24"/>
        </w:rPr>
        <w:t>в координатах</w:t>
      </w:r>
      <w:proofErr w:type="gramStart"/>
      <w:r w:rsidRPr="006A6326">
        <w:rPr>
          <w:rFonts w:ascii="Times New Roman" w:eastAsia="TimesNewRomanPSMT" w:hAnsi="Times New Roman" w:cs="Times New Roman"/>
          <w:sz w:val="24"/>
          <w:szCs w:val="24"/>
        </w:rPr>
        <w:t xml:space="preserve"> С</w:t>
      </w:r>
      <w:proofErr w:type="gramEnd"/>
      <w:r w:rsidRPr="006A6326">
        <w:rPr>
          <w:rFonts w:ascii="Times New Roman" w:eastAsia="TimesNewRomanPSMT" w:hAnsi="Times New Roman" w:cs="Times New Roman"/>
          <w:sz w:val="24"/>
          <w:szCs w:val="24"/>
        </w:rPr>
        <w:t>/С</w:t>
      </w:r>
      <w:r w:rsidRPr="006A6326">
        <w:rPr>
          <w:rFonts w:ascii="Times New Roman" w:eastAsia="TimesNewRomanPSMT" w:hAnsi="Times New Roman" w:cs="Times New Roman"/>
          <w:sz w:val="24"/>
          <w:szCs w:val="24"/>
          <w:vertAlign w:val="subscript"/>
        </w:rPr>
        <w:t>о</w:t>
      </w:r>
      <w:r w:rsidRPr="006A6326">
        <w:rPr>
          <w:rFonts w:ascii="Times New Roman" w:eastAsia="TimesNewRomanPSMT" w:hAnsi="Times New Roman" w:cs="Times New Roman"/>
          <w:sz w:val="24"/>
          <w:szCs w:val="24"/>
        </w:rPr>
        <w:t>=</w:t>
      </w:r>
      <w:r w:rsidRPr="000509BF">
        <w:rPr>
          <w:rFonts w:ascii="Times New Roman" w:eastAsia="TimesNewRomanPSMT" w:hAnsi="Times New Roman" w:cs="Times New Roman"/>
          <w:i/>
          <w:sz w:val="24"/>
          <w:szCs w:val="24"/>
          <w:lang w:val="en-US"/>
        </w:rPr>
        <w:t>f</w:t>
      </w:r>
      <w:r w:rsidRPr="006A6326">
        <w:rPr>
          <w:rFonts w:ascii="Times New Roman" w:eastAsia="TimesNewRomanPSMT" w:hAnsi="Times New Roman" w:cs="Times New Roman"/>
          <w:sz w:val="24"/>
          <w:szCs w:val="24"/>
        </w:rPr>
        <w:t>(</w:t>
      </w:r>
      <w:r w:rsidRPr="006A6326">
        <w:rPr>
          <w:rFonts w:ascii="Times New Roman" w:eastAsia="TimesNewRomanPSMT" w:hAnsi="Times New Roman" w:cs="Times New Roman"/>
          <w:sz w:val="24"/>
          <w:szCs w:val="24"/>
          <w:lang w:val="en-US"/>
        </w:rPr>
        <w:t>V</w:t>
      </w:r>
      <w:r w:rsidRPr="006A6326">
        <w:rPr>
          <w:rFonts w:ascii="Times New Roman" w:eastAsia="TimesNewRomanPSMT" w:hAnsi="Times New Roman" w:cs="Times New Roman"/>
          <w:sz w:val="24"/>
          <w:szCs w:val="24"/>
          <w:vertAlign w:val="subscript"/>
        </w:rPr>
        <w:t>ф</w:t>
      </w:r>
      <w:r w:rsidRPr="006A6326">
        <w:rPr>
          <w:rFonts w:ascii="Times New Roman" w:eastAsia="TimesNewRomanPSMT" w:hAnsi="Times New Roman" w:cs="Times New Roman"/>
          <w:sz w:val="24"/>
          <w:szCs w:val="24"/>
        </w:rPr>
        <w:t xml:space="preserve">), где </w:t>
      </w:r>
      <w:r w:rsidRPr="006A6326">
        <w:rPr>
          <w:rFonts w:ascii="Times New Roman" w:eastAsia="TimesNewRomanPSMT" w:hAnsi="Times New Roman" w:cs="Times New Roman"/>
          <w:sz w:val="24"/>
          <w:szCs w:val="24"/>
          <w:lang w:val="en-US"/>
        </w:rPr>
        <w:t>V</w:t>
      </w:r>
      <w:r w:rsidRPr="006A6326">
        <w:rPr>
          <w:rFonts w:ascii="Times New Roman" w:eastAsia="TimesNewRomanPSMT" w:hAnsi="Times New Roman" w:cs="Times New Roman"/>
          <w:sz w:val="24"/>
          <w:szCs w:val="24"/>
          <w:vertAlign w:val="subscript"/>
        </w:rPr>
        <w:t>ф</w:t>
      </w:r>
      <w:r w:rsidRPr="006A6326">
        <w:rPr>
          <w:rFonts w:ascii="Times New Roman" w:eastAsia="TimesNewRomanPSMT" w:hAnsi="Times New Roman" w:cs="Times New Roman"/>
          <w:sz w:val="24"/>
          <w:szCs w:val="24"/>
        </w:rPr>
        <w:t xml:space="preserve"> – объем раствора, прошедшего через колонку, С/С</w:t>
      </w:r>
      <w:r w:rsidRPr="006A6326">
        <w:rPr>
          <w:rFonts w:ascii="Times New Roman" w:eastAsia="TimesNewRomanPSMT" w:hAnsi="Times New Roman" w:cs="Times New Roman"/>
          <w:sz w:val="24"/>
          <w:szCs w:val="24"/>
          <w:vertAlign w:val="subscript"/>
        </w:rPr>
        <w:t>о</w:t>
      </w:r>
      <w:r w:rsidRPr="006A6326">
        <w:rPr>
          <w:rFonts w:ascii="Times New Roman" w:eastAsia="TimesNewRomanPSMT" w:hAnsi="Times New Roman" w:cs="Times New Roman"/>
          <w:sz w:val="24"/>
          <w:szCs w:val="24"/>
        </w:rPr>
        <w:t xml:space="preserve"> – отношение концентраций ионов в порции фильтрата и исходном растворе.</w:t>
      </w:r>
      <w:r w:rsidRPr="006A6326">
        <w:rPr>
          <w:rFonts w:ascii="Times New Roman" w:hAnsi="Times New Roman" w:cs="Times New Roman"/>
          <w:sz w:val="24"/>
          <w:szCs w:val="24"/>
        </w:rPr>
        <w:t xml:space="preserve"> Объемную ширину хроматографического фронта (∆</w:t>
      </w:r>
      <w:r w:rsidRPr="006A6326">
        <w:rPr>
          <w:rFonts w:ascii="Times New Roman" w:hAnsi="Times New Roman" w:cs="Times New Roman"/>
          <w:sz w:val="24"/>
          <w:szCs w:val="24"/>
          <w:lang w:val="en-US"/>
        </w:rPr>
        <w:t>V</w:t>
      </w:r>
      <w:r>
        <w:rPr>
          <w:rFonts w:ascii="Times New Roman" w:hAnsi="Times New Roman" w:cs="Times New Roman"/>
          <w:sz w:val="24"/>
          <w:szCs w:val="24"/>
          <w:vertAlign w:val="subscript"/>
        </w:rPr>
        <w:t>0,15-0,</w:t>
      </w:r>
      <w:r w:rsidRPr="006A6326">
        <w:rPr>
          <w:rFonts w:ascii="Times New Roman" w:hAnsi="Times New Roman" w:cs="Times New Roman"/>
          <w:sz w:val="24"/>
          <w:szCs w:val="24"/>
          <w:vertAlign w:val="subscript"/>
        </w:rPr>
        <w:t>85</w:t>
      </w:r>
      <w:r w:rsidRPr="006A6326">
        <w:rPr>
          <w:rFonts w:ascii="Times New Roman" w:hAnsi="Times New Roman" w:cs="Times New Roman"/>
          <w:sz w:val="24"/>
          <w:szCs w:val="24"/>
        </w:rPr>
        <w:t xml:space="preserve">) измеряли </w:t>
      </w:r>
      <w:r w:rsidRPr="006A6326">
        <w:rPr>
          <w:rFonts w:ascii="Times New Roman" w:eastAsia="TimesNewRomanPSMT" w:hAnsi="Times New Roman" w:cs="Times New Roman"/>
          <w:sz w:val="24"/>
          <w:szCs w:val="24"/>
        </w:rPr>
        <w:t>между точками</w:t>
      </w:r>
      <w:proofErr w:type="gramStart"/>
      <w:r w:rsidRPr="006A6326">
        <w:rPr>
          <w:rFonts w:ascii="Times New Roman" w:eastAsia="TimesNewRomanPSMT" w:hAnsi="Times New Roman" w:cs="Times New Roman"/>
          <w:sz w:val="24"/>
          <w:szCs w:val="24"/>
        </w:rPr>
        <w:t xml:space="preserve"> С</w:t>
      </w:r>
      <w:proofErr w:type="gramEnd"/>
      <w:r w:rsidRPr="006A6326">
        <w:rPr>
          <w:rFonts w:ascii="Times New Roman" w:eastAsia="TimesNewRomanPSMT" w:hAnsi="Times New Roman" w:cs="Times New Roman"/>
          <w:sz w:val="24"/>
          <w:szCs w:val="24"/>
        </w:rPr>
        <w:t>/С</w:t>
      </w:r>
      <w:r w:rsidRPr="006A6326">
        <w:rPr>
          <w:rFonts w:ascii="Times New Roman" w:eastAsia="TimesNewRomanPSMT" w:hAnsi="Times New Roman" w:cs="Times New Roman"/>
          <w:sz w:val="24"/>
          <w:szCs w:val="24"/>
          <w:vertAlign w:val="subscript"/>
        </w:rPr>
        <w:t>о</w:t>
      </w:r>
      <w:r w:rsidR="00196294">
        <w:rPr>
          <w:rFonts w:ascii="Times New Roman" w:eastAsia="TimesNewRomanPSMT" w:hAnsi="Times New Roman" w:cs="Times New Roman"/>
          <w:sz w:val="24"/>
          <w:szCs w:val="24"/>
        </w:rPr>
        <w:t>=</w:t>
      </w:r>
      <w:r>
        <w:rPr>
          <w:rFonts w:ascii="Times New Roman" w:eastAsia="TimesNewRomanPSMT" w:hAnsi="Times New Roman" w:cs="Times New Roman"/>
          <w:sz w:val="24"/>
          <w:szCs w:val="24"/>
        </w:rPr>
        <w:t>0,</w:t>
      </w:r>
      <w:r w:rsidRPr="006A6326">
        <w:rPr>
          <w:rFonts w:ascii="Times New Roman" w:eastAsia="TimesNewRomanPSMT" w:hAnsi="Times New Roman" w:cs="Times New Roman"/>
          <w:sz w:val="24"/>
          <w:szCs w:val="24"/>
        </w:rPr>
        <w:t>15 и С/С</w:t>
      </w:r>
      <w:r w:rsidRPr="006A6326">
        <w:rPr>
          <w:rFonts w:ascii="Times New Roman" w:eastAsia="TimesNewRomanPSMT" w:hAnsi="Times New Roman" w:cs="Times New Roman"/>
          <w:sz w:val="24"/>
          <w:szCs w:val="24"/>
          <w:vertAlign w:val="subscript"/>
        </w:rPr>
        <w:t>о</w:t>
      </w:r>
      <w:r w:rsidRPr="006A6326">
        <w:rPr>
          <w:rFonts w:ascii="Times New Roman" w:eastAsia="TimesNewRomanPSMT" w:hAnsi="Times New Roman" w:cs="Times New Roman"/>
          <w:sz w:val="24"/>
          <w:szCs w:val="24"/>
        </w:rPr>
        <w:t>=</w:t>
      </w:r>
      <w:r>
        <w:rPr>
          <w:rFonts w:ascii="Times New Roman" w:eastAsia="TimesNewRomanPSMT" w:hAnsi="Times New Roman" w:cs="Times New Roman"/>
          <w:sz w:val="24"/>
          <w:szCs w:val="24"/>
        </w:rPr>
        <w:t>0,</w:t>
      </w:r>
      <w:r w:rsidRPr="006A6326">
        <w:rPr>
          <w:rFonts w:ascii="Times New Roman" w:eastAsia="TimesNewRomanPSMT" w:hAnsi="Times New Roman" w:cs="Times New Roman"/>
          <w:sz w:val="24"/>
          <w:szCs w:val="24"/>
        </w:rPr>
        <w:t xml:space="preserve">85. По объему раствора, прошедшего до насыщения слоя ионита </w:t>
      </w:r>
      <w:r w:rsidR="00196294" w:rsidRPr="006A6326">
        <w:rPr>
          <w:rFonts w:ascii="Times New Roman" w:eastAsia="TimesNewRomanPSMT" w:hAnsi="Times New Roman" w:cs="Times New Roman"/>
          <w:sz w:val="24"/>
          <w:szCs w:val="24"/>
        </w:rPr>
        <w:t>(</w:t>
      </w:r>
      <w:proofErr w:type="gramStart"/>
      <w:r w:rsidR="00196294" w:rsidRPr="006A6326">
        <w:rPr>
          <w:rFonts w:ascii="Times New Roman" w:eastAsia="TimesNewRomanPSMT" w:hAnsi="Times New Roman" w:cs="Times New Roman"/>
          <w:sz w:val="24"/>
          <w:szCs w:val="24"/>
          <w:lang w:val="en-US"/>
        </w:rPr>
        <w:t>V</w:t>
      </w:r>
      <w:proofErr w:type="gramEnd"/>
      <w:r w:rsidR="00196294" w:rsidRPr="006A6326">
        <w:rPr>
          <w:rFonts w:ascii="Times New Roman" w:eastAsia="TimesNewRomanPSMT" w:hAnsi="Times New Roman" w:cs="Times New Roman"/>
          <w:sz w:val="24"/>
          <w:szCs w:val="24"/>
          <w:vertAlign w:val="subscript"/>
        </w:rPr>
        <w:t>нас</w:t>
      </w:r>
      <w:r w:rsidR="00196294" w:rsidRPr="006A6326">
        <w:rPr>
          <w:rFonts w:ascii="Times New Roman" w:eastAsia="TimesNewRomanPSMT" w:hAnsi="Times New Roman" w:cs="Times New Roman"/>
          <w:sz w:val="24"/>
          <w:szCs w:val="24"/>
        </w:rPr>
        <w:t>)</w:t>
      </w:r>
      <w:r w:rsidR="009D4326">
        <w:rPr>
          <w:rFonts w:ascii="Times New Roman" w:eastAsia="TimesNewRomanPSMT" w:hAnsi="Times New Roman" w:cs="Times New Roman"/>
          <w:sz w:val="24"/>
          <w:szCs w:val="24"/>
        </w:rPr>
        <w:t xml:space="preserve"> </w:t>
      </w:r>
      <w:r w:rsidRPr="006A6326">
        <w:rPr>
          <w:rFonts w:ascii="Times New Roman" w:eastAsia="TimesNewRomanPSMT" w:hAnsi="Times New Roman" w:cs="Times New Roman"/>
          <w:sz w:val="24"/>
          <w:szCs w:val="24"/>
        </w:rPr>
        <w:t>в условиях эксперимента, рассчитывали полную динамическую обменную емкость (ПДОЕ), а по объему до «проскока» (</w:t>
      </w:r>
      <w:r w:rsidRPr="006A6326">
        <w:rPr>
          <w:rFonts w:ascii="Times New Roman" w:eastAsia="TimesNewRomanPSMT" w:hAnsi="Times New Roman" w:cs="Times New Roman"/>
          <w:sz w:val="24"/>
          <w:szCs w:val="24"/>
          <w:lang w:val="en-US"/>
        </w:rPr>
        <w:t>V</w:t>
      </w:r>
      <w:proofErr w:type="spellStart"/>
      <w:r w:rsidRPr="006A6326">
        <w:rPr>
          <w:rFonts w:ascii="Times New Roman" w:eastAsia="TimesNewRomanPSMT" w:hAnsi="Times New Roman" w:cs="Times New Roman"/>
          <w:sz w:val="24"/>
          <w:szCs w:val="24"/>
          <w:vertAlign w:val="subscript"/>
        </w:rPr>
        <w:t>пр</w:t>
      </w:r>
      <w:proofErr w:type="spellEnd"/>
      <w:r w:rsidRPr="006A6326">
        <w:rPr>
          <w:rFonts w:ascii="Times New Roman" w:eastAsia="TimesNewRomanPSMT" w:hAnsi="Times New Roman" w:cs="Times New Roman"/>
          <w:sz w:val="24"/>
          <w:szCs w:val="24"/>
        </w:rPr>
        <w:t xml:space="preserve">) – динамическую обменную емкость </w:t>
      </w:r>
      <w:r w:rsidR="00196294">
        <w:rPr>
          <w:rFonts w:ascii="Times New Roman" w:eastAsia="TimesNewRomanPSMT" w:hAnsi="Times New Roman" w:cs="Times New Roman"/>
          <w:sz w:val="24"/>
          <w:szCs w:val="24"/>
        </w:rPr>
        <w:t xml:space="preserve">(ДОЕ </w:t>
      </w:r>
      <w:r w:rsidR="00196294">
        <w:rPr>
          <w:rFonts w:ascii="Times New Roman" w:eastAsia="TimesNewRomanPSMT" w:hAnsi="Times New Roman" w:cs="Times New Roman"/>
          <w:sz w:val="24"/>
          <w:szCs w:val="24"/>
        </w:rPr>
        <w:noBreakHyphen/>
      </w:r>
      <w:r w:rsidR="009D4326">
        <w:rPr>
          <w:rFonts w:ascii="Times New Roman" w:eastAsia="TimesNewRomanPSMT" w:hAnsi="Times New Roman" w:cs="Times New Roman"/>
          <w:sz w:val="24"/>
          <w:szCs w:val="24"/>
        </w:rPr>
        <w:t xml:space="preserve"> </w:t>
      </w:r>
      <w:r w:rsidRPr="006A6326">
        <w:rPr>
          <w:rFonts w:ascii="Times New Roman" w:eastAsia="TimesNewRomanPSMT" w:hAnsi="Times New Roman" w:cs="Times New Roman"/>
          <w:sz w:val="24"/>
          <w:szCs w:val="24"/>
        </w:rPr>
        <w:t>емкость до «проскока» или рабочую емкость). Степень использования слоя ионита до проскока</w:t>
      </w:r>
      <w:proofErr w:type="gramStart"/>
      <w:r w:rsidRPr="006A6326">
        <w:rPr>
          <w:rFonts w:ascii="Times New Roman" w:eastAsia="TimesNewRomanPSMT" w:hAnsi="Times New Roman" w:cs="Times New Roman"/>
          <w:sz w:val="24"/>
          <w:szCs w:val="24"/>
        </w:rPr>
        <w:t xml:space="preserve"> (η) </w:t>
      </w:r>
      <w:proofErr w:type="gramEnd"/>
      <w:r w:rsidRPr="006A6326">
        <w:rPr>
          <w:rFonts w:ascii="Times New Roman" w:eastAsia="TimesNewRomanPSMT" w:hAnsi="Times New Roman" w:cs="Times New Roman"/>
          <w:sz w:val="24"/>
          <w:szCs w:val="24"/>
        </w:rPr>
        <w:t>в конкретных условиях определяли как отношение ДОЕ/ПДОЕ</w:t>
      </w:r>
      <w:r w:rsidR="00BF00CB">
        <w:rPr>
          <w:rFonts w:ascii="Times New Roman" w:eastAsia="TimesNewRomanPSMT" w:hAnsi="Times New Roman" w:cs="Times New Roman"/>
          <w:sz w:val="24"/>
          <w:szCs w:val="24"/>
        </w:rPr>
        <w:t xml:space="preserve"> </w:t>
      </w:r>
      <w:r w:rsidR="00BF00CB" w:rsidRPr="00BF00CB">
        <w:rPr>
          <w:rFonts w:ascii="Times New Roman" w:eastAsia="TimesNewRomanPSMT" w:hAnsi="Times New Roman" w:cs="Times New Roman"/>
          <w:sz w:val="24"/>
          <w:szCs w:val="24"/>
        </w:rPr>
        <w:t>[7]</w:t>
      </w:r>
      <w:r w:rsidRPr="006A6326">
        <w:rPr>
          <w:rFonts w:ascii="Times New Roman" w:eastAsia="TimesNewRomanPSMT" w:hAnsi="Times New Roman" w:cs="Times New Roman"/>
          <w:sz w:val="24"/>
          <w:szCs w:val="24"/>
        </w:rPr>
        <w:t xml:space="preserve">. </w:t>
      </w:r>
    </w:p>
    <w:p w:rsidR="0075385C" w:rsidRPr="00BA131B" w:rsidRDefault="006A6326" w:rsidP="00BA131B">
      <w:pPr>
        <w:spacing w:after="0" w:line="240" w:lineRule="auto"/>
        <w:ind w:firstLine="426"/>
        <w:jc w:val="both"/>
        <w:rPr>
          <w:rFonts w:ascii="Times New Roman" w:hAnsi="Times New Roman" w:cs="Times New Roman"/>
          <w:color w:val="000000" w:themeColor="text1"/>
          <w:sz w:val="24"/>
          <w:szCs w:val="24"/>
        </w:rPr>
      </w:pPr>
      <w:r w:rsidRPr="006A6326">
        <w:rPr>
          <w:rFonts w:ascii="Times New Roman" w:eastAsia="TimesNewRomanPSMT" w:hAnsi="Times New Roman" w:cs="Times New Roman"/>
          <w:b/>
          <w:sz w:val="24"/>
          <w:szCs w:val="24"/>
        </w:rPr>
        <w:t>Результаты и их обсуждение</w:t>
      </w:r>
      <w:r w:rsidR="007D7AAE">
        <w:rPr>
          <w:rFonts w:ascii="Times New Roman" w:eastAsia="TimesNewRomanPSMT" w:hAnsi="Times New Roman" w:cs="Times New Roman"/>
          <w:b/>
          <w:sz w:val="24"/>
          <w:szCs w:val="24"/>
        </w:rPr>
        <w:t xml:space="preserve">. </w:t>
      </w:r>
      <w:r w:rsidR="0099515F">
        <w:rPr>
          <w:rFonts w:ascii="Times New Roman" w:hAnsi="Times New Roman" w:cs="Times New Roman"/>
          <w:sz w:val="24"/>
          <w:szCs w:val="24"/>
        </w:rPr>
        <w:t xml:space="preserve">Полная обменная емкость ионитов </w:t>
      </w:r>
      <w:r w:rsidR="00227C04" w:rsidRPr="006A6326">
        <w:rPr>
          <w:rFonts w:ascii="Times New Roman" w:hAnsi="Times New Roman" w:cs="Times New Roman"/>
          <w:sz w:val="24"/>
          <w:szCs w:val="24"/>
        </w:rPr>
        <w:t xml:space="preserve">КБ-2Э-16 и </w:t>
      </w:r>
      <w:r w:rsidR="00227C04">
        <w:rPr>
          <w:rFonts w:ascii="Times New Roman" w:hAnsi="Times New Roman" w:cs="Times New Roman"/>
          <w:sz w:val="24"/>
          <w:szCs w:val="24"/>
        </w:rPr>
        <w:t>Токем-250</w:t>
      </w:r>
      <w:r w:rsidR="0099515F">
        <w:rPr>
          <w:rFonts w:ascii="Times New Roman" w:hAnsi="Times New Roman" w:cs="Times New Roman"/>
          <w:sz w:val="24"/>
          <w:szCs w:val="24"/>
        </w:rPr>
        <w:t xml:space="preserve"> </w:t>
      </w:r>
      <w:r w:rsidR="007C7E2D">
        <w:rPr>
          <w:rFonts w:ascii="Times New Roman" w:eastAsia="TimesNewRomanPSMT" w:hAnsi="Times New Roman" w:cs="Times New Roman"/>
          <w:sz w:val="24"/>
          <w:szCs w:val="24"/>
        </w:rPr>
        <w:t xml:space="preserve">в условиях насыщения </w:t>
      </w:r>
      <w:r w:rsidR="007C7E2D">
        <w:rPr>
          <w:rFonts w:ascii="Times New Roman" w:hAnsi="Times New Roman" w:cs="Times New Roman"/>
          <w:sz w:val="24"/>
          <w:szCs w:val="24"/>
        </w:rPr>
        <w:t>практически одинакова</w:t>
      </w:r>
      <w:r w:rsidR="0099515F">
        <w:rPr>
          <w:rFonts w:ascii="Times New Roman" w:hAnsi="Times New Roman" w:cs="Times New Roman"/>
          <w:sz w:val="24"/>
          <w:szCs w:val="24"/>
        </w:rPr>
        <w:t xml:space="preserve"> (табл. 1)</w:t>
      </w:r>
      <w:r w:rsidR="007C7E2D">
        <w:rPr>
          <w:rFonts w:ascii="Times New Roman" w:hAnsi="Times New Roman" w:cs="Times New Roman"/>
          <w:sz w:val="24"/>
          <w:szCs w:val="24"/>
        </w:rPr>
        <w:t>.</w:t>
      </w:r>
      <w:r w:rsidR="0099515F">
        <w:rPr>
          <w:rFonts w:ascii="Times New Roman" w:hAnsi="Times New Roman" w:cs="Times New Roman"/>
          <w:sz w:val="24"/>
          <w:szCs w:val="24"/>
        </w:rPr>
        <w:t xml:space="preserve"> </w:t>
      </w:r>
    </w:p>
    <w:p w:rsidR="00BA131B" w:rsidRDefault="00BA131B" w:rsidP="00067AB0">
      <w:pPr>
        <w:spacing w:after="80" w:line="240" w:lineRule="auto"/>
        <w:jc w:val="both"/>
        <w:outlineLvl w:val="0"/>
        <w:rPr>
          <w:rFonts w:ascii="Times New Roman" w:hAnsi="Times New Roman" w:cs="Times New Roman"/>
          <w:sz w:val="24"/>
          <w:szCs w:val="24"/>
        </w:rPr>
      </w:pPr>
    </w:p>
    <w:p w:rsidR="00FB4E90" w:rsidRPr="00306C83" w:rsidRDefault="00306C83" w:rsidP="00416A9F">
      <w:pPr>
        <w:spacing w:after="80" w:line="240" w:lineRule="auto"/>
        <w:jc w:val="center"/>
        <w:outlineLvl w:val="0"/>
        <w:rPr>
          <w:rFonts w:ascii="Times New Roman" w:hAnsi="Times New Roman" w:cs="Times New Roman"/>
          <w:bCs/>
          <w:sz w:val="24"/>
          <w:szCs w:val="24"/>
        </w:rPr>
      </w:pPr>
      <w:r>
        <w:rPr>
          <w:rFonts w:ascii="Times New Roman" w:hAnsi="Times New Roman" w:cs="Times New Roman"/>
          <w:sz w:val="24"/>
          <w:szCs w:val="24"/>
        </w:rPr>
        <w:t xml:space="preserve">Таблица 1 – </w:t>
      </w:r>
      <w:r w:rsidRPr="00306C83">
        <w:rPr>
          <w:rFonts w:ascii="Times New Roman" w:hAnsi="Times New Roman" w:cs="Times New Roman"/>
          <w:bCs/>
          <w:sz w:val="24"/>
          <w:szCs w:val="24"/>
        </w:rPr>
        <w:t>Значения полной обменной (ПОЕ), сорбционной емкости (СЕ), влагосодержания катионитов Токем-250 и КБ-2Э-16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78"/>
        <w:gridCol w:w="1621"/>
        <w:gridCol w:w="2032"/>
      </w:tblGrid>
      <w:tr w:rsidR="0011415C" w:rsidRPr="00A71D3D" w:rsidTr="00BA131B">
        <w:trPr>
          <w:trHeight w:val="877"/>
          <w:jc w:val="center"/>
        </w:trPr>
        <w:tc>
          <w:tcPr>
            <w:tcW w:w="1530" w:type="dxa"/>
            <w:shd w:val="clear" w:color="auto" w:fill="auto"/>
            <w:vAlign w:val="center"/>
          </w:tcPr>
          <w:p w:rsidR="0011415C" w:rsidRPr="00CF7948" w:rsidRDefault="0011415C" w:rsidP="00CF7948">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bCs/>
                <w:sz w:val="24"/>
                <w:szCs w:val="24"/>
              </w:rPr>
              <w:t>Катионит</w:t>
            </w:r>
          </w:p>
        </w:tc>
        <w:tc>
          <w:tcPr>
            <w:tcW w:w="1578" w:type="dxa"/>
            <w:shd w:val="clear" w:color="auto" w:fill="auto"/>
            <w:vAlign w:val="center"/>
          </w:tcPr>
          <w:p w:rsidR="00D270DF" w:rsidRDefault="00D270DF" w:rsidP="00CF794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ПОЕ, </w:t>
            </w:r>
          </w:p>
          <w:p w:rsidR="0011415C" w:rsidRPr="00CF7948" w:rsidRDefault="00D270DF" w:rsidP="00CF7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моль-</w:t>
            </w:r>
            <w:proofErr w:type="spellStart"/>
            <w:r>
              <w:rPr>
                <w:rFonts w:ascii="Times New Roman" w:eastAsia="Calibri" w:hAnsi="Times New Roman" w:cs="Times New Roman"/>
                <w:bCs/>
                <w:sz w:val="24"/>
                <w:szCs w:val="24"/>
              </w:rPr>
              <w:t>экв</w:t>
            </w:r>
            <w:proofErr w:type="spellEnd"/>
            <w:r w:rsidR="0011415C" w:rsidRPr="00CF7948">
              <w:rPr>
                <w:rFonts w:ascii="Times New Roman" w:eastAsia="Calibri" w:hAnsi="Times New Roman" w:cs="Times New Roman"/>
                <w:bCs/>
                <w:sz w:val="24"/>
                <w:szCs w:val="24"/>
              </w:rPr>
              <w:t>/г</w:t>
            </w:r>
          </w:p>
        </w:tc>
        <w:tc>
          <w:tcPr>
            <w:tcW w:w="1621" w:type="dxa"/>
            <w:shd w:val="clear" w:color="auto" w:fill="auto"/>
            <w:vAlign w:val="center"/>
          </w:tcPr>
          <w:p w:rsidR="0011415C" w:rsidRPr="00CF7948" w:rsidRDefault="0011415C" w:rsidP="00CF7948">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bCs/>
                <w:sz w:val="24"/>
                <w:szCs w:val="24"/>
              </w:rPr>
              <w:t>СЕ (</w:t>
            </w:r>
            <w:proofErr w:type="spellStart"/>
            <w:r w:rsidRPr="00CF7948">
              <w:rPr>
                <w:rFonts w:ascii="Times New Roman" w:eastAsia="ArialMT" w:hAnsi="Times New Roman" w:cs="Times New Roman"/>
                <w:sz w:val="24"/>
                <w:szCs w:val="24"/>
                <w:lang w:val="en-US"/>
              </w:rPr>
              <w:t>Mn</w:t>
            </w:r>
            <w:proofErr w:type="spellEnd"/>
            <w:r w:rsidRPr="00CF7948">
              <w:rPr>
                <w:rFonts w:ascii="Times New Roman" w:eastAsia="ArialMT" w:hAnsi="Times New Roman" w:cs="Times New Roman"/>
                <w:sz w:val="24"/>
                <w:szCs w:val="24"/>
                <w:vertAlign w:val="superscript"/>
              </w:rPr>
              <w:t>2+</w:t>
            </w:r>
            <w:r w:rsidR="00D270DF">
              <w:rPr>
                <w:rFonts w:ascii="Times New Roman" w:eastAsia="Calibri" w:hAnsi="Times New Roman" w:cs="Times New Roman"/>
                <w:bCs/>
                <w:sz w:val="24"/>
                <w:szCs w:val="24"/>
              </w:rPr>
              <w:t>), моль-</w:t>
            </w:r>
            <w:proofErr w:type="spellStart"/>
            <w:r w:rsidR="00D270DF">
              <w:rPr>
                <w:rFonts w:ascii="Times New Roman" w:eastAsia="Calibri" w:hAnsi="Times New Roman" w:cs="Times New Roman"/>
                <w:bCs/>
                <w:sz w:val="24"/>
                <w:szCs w:val="24"/>
              </w:rPr>
              <w:t>экв</w:t>
            </w:r>
            <w:proofErr w:type="spellEnd"/>
            <w:r w:rsidRPr="00CF7948">
              <w:rPr>
                <w:rFonts w:ascii="Times New Roman" w:eastAsia="Calibri" w:hAnsi="Times New Roman" w:cs="Times New Roman"/>
                <w:bCs/>
                <w:sz w:val="24"/>
                <w:szCs w:val="24"/>
              </w:rPr>
              <w:t>/г</w:t>
            </w:r>
          </w:p>
        </w:tc>
        <w:tc>
          <w:tcPr>
            <w:tcW w:w="2032" w:type="dxa"/>
            <w:shd w:val="clear" w:color="auto" w:fill="auto"/>
            <w:vAlign w:val="center"/>
          </w:tcPr>
          <w:p w:rsidR="00D270DF" w:rsidRDefault="00CF7948" w:rsidP="00D270DF">
            <w:pPr>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lang w:val="en-US"/>
              </w:rPr>
              <w:t>Влагосод</w:t>
            </w:r>
            <w:r w:rsidR="00D270DF">
              <w:rPr>
                <w:rFonts w:ascii="Times New Roman" w:eastAsia="Calibri" w:hAnsi="Times New Roman" w:cs="Times New Roman"/>
                <w:bCs/>
                <w:sz w:val="24"/>
                <w:szCs w:val="24"/>
              </w:rPr>
              <w:t>ержание</w:t>
            </w:r>
            <w:proofErr w:type="spellEnd"/>
          </w:p>
          <w:p w:rsidR="0011415C" w:rsidRPr="00CF7948" w:rsidRDefault="0011415C" w:rsidP="00D270DF">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bCs/>
                <w:sz w:val="24"/>
                <w:szCs w:val="24"/>
                <w:lang w:val="en-US"/>
              </w:rPr>
              <w:t>(Na-</w:t>
            </w:r>
            <w:proofErr w:type="spellStart"/>
            <w:r w:rsidRPr="00CF7948">
              <w:rPr>
                <w:rFonts w:ascii="Times New Roman" w:eastAsia="Calibri" w:hAnsi="Times New Roman" w:cs="Times New Roman"/>
                <w:bCs/>
                <w:sz w:val="24"/>
                <w:szCs w:val="24"/>
                <w:lang w:val="en-US"/>
              </w:rPr>
              <w:t>форма</w:t>
            </w:r>
            <w:proofErr w:type="spellEnd"/>
            <w:r w:rsidRPr="00CF7948">
              <w:rPr>
                <w:rFonts w:ascii="Times New Roman" w:eastAsia="Calibri" w:hAnsi="Times New Roman" w:cs="Times New Roman"/>
                <w:bCs/>
                <w:sz w:val="24"/>
                <w:szCs w:val="24"/>
                <w:lang w:val="en-US"/>
              </w:rPr>
              <w:t>), %</w:t>
            </w:r>
          </w:p>
        </w:tc>
      </w:tr>
      <w:tr w:rsidR="0011415C" w:rsidRPr="00A71D3D" w:rsidTr="00BA131B">
        <w:trPr>
          <w:trHeight w:val="190"/>
          <w:jc w:val="center"/>
        </w:trPr>
        <w:tc>
          <w:tcPr>
            <w:tcW w:w="1530" w:type="dxa"/>
            <w:shd w:val="clear" w:color="auto" w:fill="auto"/>
            <w:vAlign w:val="center"/>
          </w:tcPr>
          <w:p w:rsidR="0011415C" w:rsidRPr="00CF7948" w:rsidRDefault="0011415C" w:rsidP="00CF7948">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bCs/>
                <w:sz w:val="24"/>
                <w:szCs w:val="24"/>
              </w:rPr>
              <w:t>Токем-250</w:t>
            </w:r>
          </w:p>
        </w:tc>
        <w:tc>
          <w:tcPr>
            <w:tcW w:w="1578" w:type="dxa"/>
            <w:shd w:val="clear" w:color="auto" w:fill="auto"/>
            <w:vAlign w:val="center"/>
          </w:tcPr>
          <w:p w:rsidR="0011415C" w:rsidRPr="00CF7948" w:rsidRDefault="00CF7948" w:rsidP="00D85E4A">
            <w:pPr>
              <w:spacing w:after="0" w:line="240" w:lineRule="auto"/>
              <w:jc w:val="center"/>
              <w:rPr>
                <w:rFonts w:ascii="Times New Roman" w:eastAsia="Calibri" w:hAnsi="Times New Roman" w:cs="Times New Roman"/>
                <w:sz w:val="24"/>
                <w:szCs w:val="24"/>
                <w:highlight w:val="yellow"/>
              </w:rPr>
            </w:pPr>
            <w:r w:rsidRPr="00CF7948">
              <w:rPr>
                <w:rFonts w:ascii="Times New Roman" w:eastAsia="Calibri" w:hAnsi="Times New Roman" w:cs="Times New Roman"/>
                <w:sz w:val="24"/>
                <w:szCs w:val="24"/>
              </w:rPr>
              <w:t>9,</w:t>
            </w:r>
            <w:r w:rsidR="00D85E4A">
              <w:rPr>
                <w:rFonts w:ascii="Times New Roman" w:eastAsia="Calibri" w:hAnsi="Times New Roman" w:cs="Times New Roman"/>
                <w:sz w:val="24"/>
                <w:szCs w:val="24"/>
              </w:rPr>
              <w:t xml:space="preserve">4 </w:t>
            </w:r>
            <w:r w:rsidR="0011415C" w:rsidRPr="00CF7948">
              <w:rPr>
                <w:rFonts w:ascii="Times New Roman" w:eastAsia="Calibri" w:hAnsi="Times New Roman" w:cs="Times New Roman"/>
                <w:sz w:val="24"/>
                <w:szCs w:val="24"/>
                <w:lang w:val="en-US"/>
              </w:rPr>
              <w:t>±</w:t>
            </w:r>
            <w:r w:rsidR="00D85E4A">
              <w:rPr>
                <w:rFonts w:ascii="Times New Roman" w:eastAsia="Calibri" w:hAnsi="Times New Roman" w:cs="Times New Roman"/>
                <w:sz w:val="24"/>
                <w:szCs w:val="24"/>
              </w:rPr>
              <w:t xml:space="preserve"> </w:t>
            </w:r>
            <w:r w:rsidR="0011415C" w:rsidRPr="00CF7948">
              <w:rPr>
                <w:rFonts w:ascii="Times New Roman" w:eastAsia="Calibri" w:hAnsi="Times New Roman" w:cs="Times New Roman"/>
                <w:sz w:val="24"/>
                <w:szCs w:val="24"/>
                <w:lang w:val="en-US"/>
              </w:rPr>
              <w:t>0</w:t>
            </w:r>
            <w:r w:rsidR="00EC11A7">
              <w:rPr>
                <w:rFonts w:ascii="Times New Roman" w:eastAsia="Calibri" w:hAnsi="Times New Roman" w:cs="Times New Roman"/>
                <w:sz w:val="24"/>
                <w:szCs w:val="24"/>
              </w:rPr>
              <w:t>,</w:t>
            </w:r>
            <w:r w:rsidR="00D85E4A">
              <w:rPr>
                <w:rFonts w:ascii="Times New Roman" w:eastAsia="Calibri" w:hAnsi="Times New Roman" w:cs="Times New Roman"/>
                <w:sz w:val="24"/>
                <w:szCs w:val="24"/>
              </w:rPr>
              <w:t>4</w:t>
            </w:r>
          </w:p>
        </w:tc>
        <w:tc>
          <w:tcPr>
            <w:tcW w:w="1621" w:type="dxa"/>
            <w:shd w:val="clear" w:color="auto" w:fill="auto"/>
            <w:vAlign w:val="center"/>
          </w:tcPr>
          <w:p w:rsidR="0011415C" w:rsidRPr="00CF7948" w:rsidRDefault="00CF7948" w:rsidP="00CF7948">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sz w:val="24"/>
                <w:szCs w:val="24"/>
              </w:rPr>
              <w:t>6,16</w:t>
            </w:r>
            <w:r w:rsidR="00D85E4A">
              <w:rPr>
                <w:rFonts w:ascii="Times New Roman" w:eastAsia="Calibri" w:hAnsi="Times New Roman" w:cs="Times New Roman"/>
                <w:sz w:val="24"/>
                <w:szCs w:val="24"/>
              </w:rPr>
              <w:t xml:space="preserve"> </w:t>
            </w:r>
            <w:r w:rsidR="0011415C" w:rsidRPr="00CF7948">
              <w:rPr>
                <w:rFonts w:ascii="Times New Roman" w:eastAsia="Calibri" w:hAnsi="Times New Roman" w:cs="Times New Roman"/>
                <w:sz w:val="24"/>
                <w:szCs w:val="24"/>
                <w:lang w:val="en-US"/>
              </w:rPr>
              <w:t>±</w:t>
            </w:r>
            <w:r w:rsidR="00D85E4A">
              <w:rPr>
                <w:rFonts w:ascii="Times New Roman" w:eastAsia="Calibri" w:hAnsi="Times New Roman" w:cs="Times New Roman"/>
                <w:sz w:val="24"/>
                <w:szCs w:val="24"/>
              </w:rPr>
              <w:t xml:space="preserve"> </w:t>
            </w:r>
            <w:r w:rsidR="0011415C" w:rsidRPr="00CF7948">
              <w:rPr>
                <w:rFonts w:ascii="Times New Roman" w:eastAsia="Calibri" w:hAnsi="Times New Roman" w:cs="Times New Roman"/>
                <w:sz w:val="24"/>
                <w:szCs w:val="24"/>
                <w:lang w:val="en-US"/>
              </w:rPr>
              <w:t>0</w:t>
            </w:r>
            <w:r w:rsidR="00EC11A7">
              <w:rPr>
                <w:rFonts w:ascii="Times New Roman" w:eastAsia="Calibri" w:hAnsi="Times New Roman" w:cs="Times New Roman"/>
                <w:sz w:val="24"/>
                <w:szCs w:val="24"/>
              </w:rPr>
              <w:t>,</w:t>
            </w:r>
            <w:r w:rsidRPr="00CF7948">
              <w:rPr>
                <w:rFonts w:ascii="Times New Roman" w:eastAsia="Calibri" w:hAnsi="Times New Roman" w:cs="Times New Roman"/>
                <w:sz w:val="24"/>
                <w:szCs w:val="24"/>
              </w:rPr>
              <w:t>07</w:t>
            </w:r>
          </w:p>
        </w:tc>
        <w:tc>
          <w:tcPr>
            <w:tcW w:w="2032" w:type="dxa"/>
            <w:shd w:val="clear" w:color="auto" w:fill="auto"/>
            <w:vAlign w:val="center"/>
          </w:tcPr>
          <w:p w:rsidR="0011415C" w:rsidRPr="00CF7948" w:rsidRDefault="0011415C" w:rsidP="00EA069B">
            <w:pPr>
              <w:spacing w:after="0" w:line="240" w:lineRule="auto"/>
              <w:ind w:firstLine="340"/>
              <w:jc w:val="both"/>
              <w:rPr>
                <w:rFonts w:ascii="Times New Roman" w:eastAsia="Calibri" w:hAnsi="Times New Roman" w:cs="Times New Roman"/>
                <w:sz w:val="24"/>
                <w:szCs w:val="24"/>
              </w:rPr>
            </w:pPr>
            <w:r w:rsidRPr="00CF7948">
              <w:rPr>
                <w:rFonts w:ascii="Times New Roman" w:eastAsia="Calibri" w:hAnsi="Times New Roman" w:cs="Times New Roman"/>
                <w:sz w:val="24"/>
                <w:szCs w:val="24"/>
                <w:lang w:val="en-US"/>
              </w:rPr>
              <w:t>54</w:t>
            </w:r>
            <w:r w:rsidR="00CF7948">
              <w:rPr>
                <w:rFonts w:ascii="Times New Roman" w:eastAsia="Calibri" w:hAnsi="Times New Roman" w:cs="Times New Roman"/>
                <w:sz w:val="24"/>
                <w:szCs w:val="24"/>
              </w:rPr>
              <w:t>,</w:t>
            </w:r>
            <w:r w:rsidRPr="00CF7948">
              <w:rPr>
                <w:rFonts w:ascii="Times New Roman" w:eastAsia="Calibri" w:hAnsi="Times New Roman" w:cs="Times New Roman"/>
                <w:sz w:val="24"/>
                <w:szCs w:val="24"/>
              </w:rPr>
              <w:t>0</w:t>
            </w:r>
            <w:r w:rsidR="00D85E4A">
              <w:rPr>
                <w:rFonts w:ascii="Times New Roman" w:eastAsia="Calibri" w:hAnsi="Times New Roman" w:cs="Times New Roman"/>
                <w:sz w:val="24"/>
                <w:szCs w:val="24"/>
              </w:rPr>
              <w:t xml:space="preserve"> </w:t>
            </w:r>
            <w:r w:rsidRPr="00CF7948">
              <w:rPr>
                <w:rFonts w:ascii="Times New Roman" w:eastAsia="Calibri" w:hAnsi="Times New Roman" w:cs="Times New Roman"/>
                <w:sz w:val="24"/>
                <w:szCs w:val="24"/>
                <w:lang w:val="en-US"/>
              </w:rPr>
              <w:t>±</w:t>
            </w:r>
            <w:r w:rsidR="00D85E4A">
              <w:rPr>
                <w:rFonts w:ascii="Times New Roman" w:eastAsia="Calibri" w:hAnsi="Times New Roman" w:cs="Times New Roman"/>
                <w:sz w:val="24"/>
                <w:szCs w:val="24"/>
              </w:rPr>
              <w:t xml:space="preserve"> </w:t>
            </w:r>
            <w:r w:rsidR="00EC11A7">
              <w:rPr>
                <w:rFonts w:ascii="Times New Roman" w:eastAsia="Calibri" w:hAnsi="Times New Roman" w:cs="Times New Roman"/>
                <w:sz w:val="24"/>
                <w:szCs w:val="24"/>
              </w:rPr>
              <w:t>0,</w:t>
            </w:r>
            <w:r w:rsidRPr="00CF7948">
              <w:rPr>
                <w:rFonts w:ascii="Times New Roman" w:eastAsia="Calibri" w:hAnsi="Times New Roman" w:cs="Times New Roman"/>
                <w:sz w:val="24"/>
                <w:szCs w:val="24"/>
              </w:rPr>
              <w:t>5</w:t>
            </w:r>
          </w:p>
        </w:tc>
      </w:tr>
      <w:tr w:rsidR="0011415C" w:rsidRPr="007F6597" w:rsidTr="00BA131B">
        <w:trPr>
          <w:trHeight w:val="190"/>
          <w:jc w:val="center"/>
        </w:trPr>
        <w:tc>
          <w:tcPr>
            <w:tcW w:w="1530" w:type="dxa"/>
            <w:shd w:val="clear" w:color="auto" w:fill="auto"/>
            <w:vAlign w:val="center"/>
          </w:tcPr>
          <w:p w:rsidR="0011415C" w:rsidRPr="00CF7948" w:rsidRDefault="0011415C" w:rsidP="00CF7948">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bCs/>
                <w:sz w:val="24"/>
                <w:szCs w:val="24"/>
              </w:rPr>
              <w:t>КБ-2Э-16</w:t>
            </w:r>
          </w:p>
        </w:tc>
        <w:tc>
          <w:tcPr>
            <w:tcW w:w="1578" w:type="dxa"/>
            <w:shd w:val="clear" w:color="auto" w:fill="auto"/>
            <w:vAlign w:val="center"/>
          </w:tcPr>
          <w:p w:rsidR="0011415C" w:rsidRPr="00CF7948" w:rsidRDefault="00EC11A7" w:rsidP="00EA069B">
            <w:pPr>
              <w:spacing w:after="0" w:line="240" w:lineRule="auto"/>
              <w:ind w:firstLine="184"/>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9,1</w:t>
            </w:r>
            <w:r w:rsidR="00D85E4A">
              <w:rPr>
                <w:rFonts w:ascii="Times New Roman" w:eastAsia="Calibri" w:hAnsi="Times New Roman" w:cs="Times New Roman"/>
                <w:sz w:val="24"/>
                <w:szCs w:val="24"/>
              </w:rPr>
              <w:t xml:space="preserve"> </w:t>
            </w:r>
            <w:r w:rsidR="0011415C" w:rsidRPr="00EC11A7">
              <w:rPr>
                <w:rFonts w:ascii="Times New Roman" w:eastAsia="Calibri" w:hAnsi="Times New Roman" w:cs="Times New Roman"/>
                <w:sz w:val="24"/>
                <w:szCs w:val="24"/>
                <w:lang w:val="en-US"/>
              </w:rPr>
              <w:t>±</w:t>
            </w:r>
            <w:r w:rsidR="00D85E4A">
              <w:rPr>
                <w:rFonts w:ascii="Times New Roman" w:eastAsia="Calibri" w:hAnsi="Times New Roman" w:cs="Times New Roman"/>
                <w:sz w:val="24"/>
                <w:szCs w:val="24"/>
              </w:rPr>
              <w:t xml:space="preserve"> </w:t>
            </w:r>
            <w:r w:rsidR="0011415C" w:rsidRPr="00EC11A7">
              <w:rPr>
                <w:rFonts w:ascii="Times New Roman" w:eastAsia="Calibri" w:hAnsi="Times New Roman" w:cs="Times New Roman"/>
                <w:sz w:val="24"/>
                <w:szCs w:val="24"/>
                <w:lang w:val="en-US"/>
              </w:rPr>
              <w:t>0</w:t>
            </w:r>
            <w:r>
              <w:rPr>
                <w:rFonts w:ascii="Times New Roman" w:eastAsia="Calibri" w:hAnsi="Times New Roman" w:cs="Times New Roman"/>
                <w:sz w:val="24"/>
                <w:szCs w:val="24"/>
              </w:rPr>
              <w:t>,5</w:t>
            </w:r>
          </w:p>
        </w:tc>
        <w:tc>
          <w:tcPr>
            <w:tcW w:w="1621" w:type="dxa"/>
            <w:shd w:val="clear" w:color="auto" w:fill="auto"/>
            <w:vAlign w:val="center"/>
          </w:tcPr>
          <w:p w:rsidR="0011415C" w:rsidRPr="00CF7948" w:rsidRDefault="00485B31" w:rsidP="00CF7948">
            <w:pPr>
              <w:spacing w:after="0" w:line="240" w:lineRule="auto"/>
              <w:jc w:val="center"/>
              <w:rPr>
                <w:rFonts w:ascii="Times New Roman" w:eastAsia="Calibri" w:hAnsi="Times New Roman" w:cs="Times New Roman"/>
                <w:sz w:val="24"/>
                <w:szCs w:val="24"/>
              </w:rPr>
            </w:pPr>
            <w:r w:rsidRPr="00CF7948">
              <w:rPr>
                <w:rFonts w:ascii="Times New Roman" w:eastAsia="Calibri" w:hAnsi="Times New Roman" w:cs="Times New Roman"/>
                <w:sz w:val="24"/>
                <w:szCs w:val="24"/>
              </w:rPr>
              <w:t>6,71</w:t>
            </w:r>
            <w:r w:rsidR="00D85E4A">
              <w:rPr>
                <w:rFonts w:ascii="Times New Roman" w:eastAsia="Calibri" w:hAnsi="Times New Roman" w:cs="Times New Roman"/>
                <w:sz w:val="24"/>
                <w:szCs w:val="24"/>
              </w:rPr>
              <w:t xml:space="preserve"> </w:t>
            </w:r>
            <w:r w:rsidR="0011415C" w:rsidRPr="00CF7948">
              <w:rPr>
                <w:rFonts w:ascii="Times New Roman" w:eastAsia="Calibri" w:hAnsi="Times New Roman" w:cs="Times New Roman"/>
                <w:sz w:val="24"/>
                <w:szCs w:val="24"/>
                <w:lang w:val="en-US"/>
              </w:rPr>
              <w:t>±</w:t>
            </w:r>
            <w:r w:rsidR="00D85E4A">
              <w:rPr>
                <w:rFonts w:ascii="Times New Roman" w:eastAsia="Calibri" w:hAnsi="Times New Roman" w:cs="Times New Roman"/>
                <w:sz w:val="24"/>
                <w:szCs w:val="24"/>
              </w:rPr>
              <w:t xml:space="preserve"> </w:t>
            </w:r>
            <w:r w:rsidR="0011415C" w:rsidRPr="00CF7948">
              <w:rPr>
                <w:rFonts w:ascii="Times New Roman" w:eastAsia="Calibri" w:hAnsi="Times New Roman" w:cs="Times New Roman"/>
                <w:sz w:val="24"/>
                <w:szCs w:val="24"/>
                <w:lang w:val="en-US"/>
              </w:rPr>
              <w:t>0</w:t>
            </w:r>
            <w:r w:rsidR="00EC11A7">
              <w:rPr>
                <w:rFonts w:ascii="Times New Roman" w:eastAsia="Calibri" w:hAnsi="Times New Roman" w:cs="Times New Roman"/>
                <w:sz w:val="24"/>
                <w:szCs w:val="24"/>
              </w:rPr>
              <w:t>,</w:t>
            </w:r>
            <w:r w:rsidRPr="00CF7948">
              <w:rPr>
                <w:rFonts w:ascii="Times New Roman" w:eastAsia="Calibri" w:hAnsi="Times New Roman" w:cs="Times New Roman"/>
                <w:sz w:val="24"/>
                <w:szCs w:val="24"/>
              </w:rPr>
              <w:t>0</w:t>
            </w:r>
            <w:r w:rsidR="0011415C" w:rsidRPr="00CF7948">
              <w:rPr>
                <w:rFonts w:ascii="Times New Roman" w:eastAsia="Calibri" w:hAnsi="Times New Roman" w:cs="Times New Roman"/>
                <w:sz w:val="24"/>
                <w:szCs w:val="24"/>
              </w:rPr>
              <w:t>7</w:t>
            </w:r>
          </w:p>
        </w:tc>
        <w:tc>
          <w:tcPr>
            <w:tcW w:w="2032" w:type="dxa"/>
            <w:shd w:val="clear" w:color="auto" w:fill="auto"/>
            <w:vAlign w:val="center"/>
          </w:tcPr>
          <w:p w:rsidR="0011415C" w:rsidRPr="00CF7948" w:rsidRDefault="0011415C" w:rsidP="00CF7948">
            <w:pPr>
              <w:spacing w:after="0" w:line="240" w:lineRule="auto"/>
              <w:jc w:val="center"/>
              <w:rPr>
                <w:rFonts w:ascii="Times New Roman" w:eastAsia="Calibri" w:hAnsi="Times New Roman" w:cs="Times New Roman"/>
                <w:sz w:val="24"/>
                <w:szCs w:val="24"/>
              </w:rPr>
            </w:pPr>
            <w:r w:rsidRPr="00EC11A7">
              <w:rPr>
                <w:rFonts w:ascii="Times New Roman" w:eastAsia="Calibri" w:hAnsi="Times New Roman" w:cs="Times New Roman"/>
                <w:sz w:val="24"/>
                <w:szCs w:val="24"/>
                <w:lang w:val="en-US"/>
              </w:rPr>
              <w:t>6</w:t>
            </w:r>
            <w:r w:rsidR="00EC11A7" w:rsidRPr="00EC11A7">
              <w:rPr>
                <w:rFonts w:ascii="Times New Roman" w:eastAsia="Calibri" w:hAnsi="Times New Roman" w:cs="Times New Roman"/>
                <w:sz w:val="24"/>
                <w:szCs w:val="24"/>
              </w:rPr>
              <w:t>1</w:t>
            </w:r>
            <w:r w:rsidR="00CF7948" w:rsidRPr="00EC11A7">
              <w:rPr>
                <w:rFonts w:ascii="Times New Roman" w:eastAsia="Calibri" w:hAnsi="Times New Roman" w:cs="Times New Roman"/>
                <w:sz w:val="24"/>
                <w:szCs w:val="24"/>
              </w:rPr>
              <w:t>,</w:t>
            </w:r>
            <w:r w:rsidR="00EC11A7" w:rsidRPr="00EC11A7">
              <w:rPr>
                <w:rFonts w:ascii="Times New Roman" w:eastAsia="Calibri" w:hAnsi="Times New Roman" w:cs="Times New Roman"/>
                <w:sz w:val="24"/>
                <w:szCs w:val="24"/>
              </w:rPr>
              <w:t>61</w:t>
            </w:r>
            <w:r w:rsidR="00D85E4A">
              <w:rPr>
                <w:rFonts w:ascii="Times New Roman" w:eastAsia="Calibri" w:hAnsi="Times New Roman" w:cs="Times New Roman"/>
                <w:sz w:val="24"/>
                <w:szCs w:val="24"/>
              </w:rPr>
              <w:t xml:space="preserve"> </w:t>
            </w:r>
            <w:r w:rsidRPr="00EC11A7">
              <w:rPr>
                <w:rFonts w:ascii="Times New Roman" w:eastAsia="Calibri" w:hAnsi="Times New Roman" w:cs="Times New Roman"/>
                <w:sz w:val="24"/>
                <w:szCs w:val="24"/>
                <w:lang w:val="en-US"/>
              </w:rPr>
              <w:t>±</w:t>
            </w:r>
            <w:r w:rsidR="00D85E4A">
              <w:rPr>
                <w:rFonts w:ascii="Times New Roman" w:eastAsia="Calibri" w:hAnsi="Times New Roman" w:cs="Times New Roman"/>
                <w:sz w:val="24"/>
                <w:szCs w:val="24"/>
              </w:rPr>
              <w:t xml:space="preserve"> </w:t>
            </w:r>
            <w:r w:rsidR="00EC11A7" w:rsidRPr="00EC11A7">
              <w:rPr>
                <w:rFonts w:ascii="Times New Roman" w:eastAsia="Calibri" w:hAnsi="Times New Roman" w:cs="Times New Roman"/>
                <w:sz w:val="24"/>
                <w:szCs w:val="24"/>
              </w:rPr>
              <w:t>0,15</w:t>
            </w:r>
          </w:p>
        </w:tc>
      </w:tr>
    </w:tbl>
    <w:p w:rsidR="005C00CD" w:rsidRDefault="005C00CD" w:rsidP="00BA131B">
      <w:pPr>
        <w:spacing w:after="0" w:line="240" w:lineRule="auto"/>
        <w:ind w:firstLine="426"/>
        <w:jc w:val="both"/>
        <w:rPr>
          <w:rFonts w:ascii="Times New Roman" w:hAnsi="Times New Roman" w:cs="Times New Roman"/>
          <w:sz w:val="24"/>
          <w:szCs w:val="24"/>
        </w:rPr>
      </w:pPr>
    </w:p>
    <w:p w:rsidR="00306C83" w:rsidRDefault="00BA131B" w:rsidP="00BA131B">
      <w:pPr>
        <w:spacing w:after="0" w:line="240" w:lineRule="auto"/>
        <w:ind w:firstLine="426"/>
        <w:jc w:val="both"/>
        <w:rPr>
          <w:rFonts w:ascii="Times New Roman" w:hAnsi="Times New Roman" w:cs="Times New Roman"/>
          <w:sz w:val="24"/>
          <w:szCs w:val="24"/>
        </w:rPr>
      </w:pPr>
      <w:r w:rsidRPr="00306C83">
        <w:rPr>
          <w:rFonts w:ascii="Times New Roman" w:hAnsi="Times New Roman" w:cs="Times New Roman"/>
          <w:sz w:val="24"/>
          <w:szCs w:val="24"/>
        </w:rPr>
        <w:t>С</w:t>
      </w:r>
      <w:r>
        <w:rPr>
          <w:rFonts w:ascii="Times New Roman" w:hAnsi="Times New Roman" w:cs="Times New Roman"/>
          <w:sz w:val="24"/>
          <w:szCs w:val="24"/>
        </w:rPr>
        <w:t xml:space="preserve">орбционная емкость </w:t>
      </w:r>
      <w:r w:rsidRPr="00306C83">
        <w:rPr>
          <w:rFonts w:ascii="Times New Roman" w:hAnsi="Times New Roman" w:cs="Times New Roman"/>
          <w:sz w:val="24"/>
          <w:szCs w:val="24"/>
        </w:rPr>
        <w:t>по марганцу(</w:t>
      </w:r>
      <w:r w:rsidRPr="00306C83">
        <w:rPr>
          <w:rFonts w:ascii="Times New Roman" w:hAnsi="Times New Roman" w:cs="Times New Roman"/>
          <w:sz w:val="24"/>
          <w:szCs w:val="24"/>
          <w:lang w:val="en-US"/>
        </w:rPr>
        <w:t>II</w:t>
      </w:r>
      <w:r w:rsidRPr="00306C83">
        <w:rPr>
          <w:rFonts w:ascii="Times New Roman" w:hAnsi="Times New Roman" w:cs="Times New Roman"/>
          <w:sz w:val="24"/>
          <w:szCs w:val="24"/>
        </w:rPr>
        <w:t xml:space="preserve">) </w:t>
      </w:r>
      <w:r w:rsidRPr="00306C83">
        <w:rPr>
          <w:rFonts w:ascii="Times New Roman" w:hAnsi="Times New Roman" w:cs="Times New Roman"/>
          <w:color w:val="000000" w:themeColor="text1"/>
          <w:sz w:val="24"/>
          <w:szCs w:val="24"/>
        </w:rPr>
        <w:t xml:space="preserve">составляет порядка 60-70% от ПОЕ, </w:t>
      </w:r>
      <w:r>
        <w:rPr>
          <w:rFonts w:ascii="Times New Roman" w:hAnsi="Times New Roman" w:cs="Times New Roman"/>
          <w:color w:val="000000" w:themeColor="text1"/>
          <w:sz w:val="24"/>
          <w:szCs w:val="24"/>
        </w:rPr>
        <w:t xml:space="preserve">вероятно, </w:t>
      </w:r>
      <w:r w:rsidRPr="00306C83">
        <w:rPr>
          <w:rFonts w:ascii="Times New Roman" w:hAnsi="Times New Roman" w:cs="Times New Roman"/>
          <w:color w:val="000000" w:themeColor="text1"/>
          <w:sz w:val="24"/>
          <w:szCs w:val="24"/>
        </w:rPr>
        <w:t xml:space="preserve">не все функциональные группы </w:t>
      </w:r>
      <w:r>
        <w:rPr>
          <w:rFonts w:ascii="Times New Roman" w:hAnsi="Times New Roman" w:cs="Times New Roman"/>
          <w:color w:val="000000" w:themeColor="text1"/>
          <w:sz w:val="24"/>
          <w:szCs w:val="24"/>
        </w:rPr>
        <w:t xml:space="preserve">катионитов </w:t>
      </w:r>
      <w:r w:rsidRPr="00306C83">
        <w:rPr>
          <w:rFonts w:ascii="Times New Roman" w:hAnsi="Times New Roman" w:cs="Times New Roman"/>
          <w:color w:val="000000" w:themeColor="text1"/>
          <w:sz w:val="24"/>
          <w:szCs w:val="24"/>
        </w:rPr>
        <w:t xml:space="preserve">участвуют в </w:t>
      </w:r>
      <w:r w:rsidR="00D85E4A">
        <w:rPr>
          <w:rFonts w:ascii="Times New Roman" w:hAnsi="Times New Roman" w:cs="Times New Roman"/>
          <w:color w:val="000000" w:themeColor="text1"/>
          <w:sz w:val="24"/>
          <w:szCs w:val="24"/>
        </w:rPr>
        <w:t>ионном обмене</w:t>
      </w:r>
      <w:r>
        <w:rPr>
          <w:rFonts w:ascii="Times New Roman" w:hAnsi="Times New Roman" w:cs="Times New Roman"/>
          <w:color w:val="000000" w:themeColor="text1"/>
          <w:sz w:val="24"/>
          <w:szCs w:val="24"/>
        </w:rPr>
        <w:t xml:space="preserve">. Значения СЕ </w:t>
      </w:r>
      <w:r>
        <w:rPr>
          <w:rFonts w:ascii="Times New Roman" w:eastAsia="ArialMT" w:hAnsi="Times New Roman" w:cs="Times New Roman"/>
          <w:sz w:val="24"/>
          <w:szCs w:val="24"/>
        </w:rPr>
        <w:t>и</w:t>
      </w:r>
      <w:r w:rsidRPr="00306C83">
        <w:rPr>
          <w:rFonts w:ascii="Times New Roman" w:hAnsi="Times New Roman" w:cs="Times New Roman"/>
          <w:color w:val="000000" w:themeColor="text1"/>
          <w:sz w:val="24"/>
          <w:szCs w:val="24"/>
        </w:rPr>
        <w:t xml:space="preserve"> </w:t>
      </w:r>
      <w:r>
        <w:rPr>
          <w:rFonts w:ascii="Times New Roman" w:eastAsia="ArialMT" w:hAnsi="Times New Roman" w:cs="Times New Roman"/>
          <w:sz w:val="24"/>
          <w:szCs w:val="24"/>
        </w:rPr>
        <w:lastRenderedPageBreak/>
        <w:t xml:space="preserve">влагосодержания </w:t>
      </w:r>
      <w:r w:rsidRPr="00306C83">
        <w:rPr>
          <w:rFonts w:ascii="Times New Roman" w:hAnsi="Times New Roman" w:cs="Times New Roman"/>
          <w:color w:val="000000" w:themeColor="text1"/>
          <w:sz w:val="24"/>
          <w:szCs w:val="24"/>
        </w:rPr>
        <w:t>ионит</w:t>
      </w:r>
      <w:r>
        <w:rPr>
          <w:rFonts w:ascii="Times New Roman" w:hAnsi="Times New Roman" w:cs="Times New Roman"/>
          <w:color w:val="000000" w:themeColor="text1"/>
          <w:sz w:val="24"/>
          <w:szCs w:val="24"/>
        </w:rPr>
        <w:t xml:space="preserve">а </w:t>
      </w:r>
      <w:r w:rsidRPr="00306C83">
        <w:rPr>
          <w:rFonts w:ascii="Times New Roman" w:eastAsia="ArialMT" w:hAnsi="Times New Roman" w:cs="Times New Roman"/>
          <w:sz w:val="24"/>
          <w:szCs w:val="24"/>
        </w:rPr>
        <w:t>КБ-2Э-16</w:t>
      </w:r>
      <w:r>
        <w:rPr>
          <w:rFonts w:ascii="Times New Roman" w:eastAsia="ArialMT" w:hAnsi="Times New Roman" w:cs="Times New Roman"/>
          <w:sz w:val="24"/>
          <w:szCs w:val="24"/>
        </w:rPr>
        <w:t xml:space="preserve"> немного больше </w:t>
      </w:r>
      <w:r w:rsidRPr="00D270DF">
        <w:rPr>
          <w:rFonts w:ascii="Times New Roman" w:eastAsia="ArialMT" w:hAnsi="Times New Roman" w:cs="Times New Roman"/>
          <w:sz w:val="24"/>
          <w:szCs w:val="24"/>
        </w:rPr>
        <w:t>(</w:t>
      </w:r>
      <w:r>
        <w:rPr>
          <w:rFonts w:ascii="Times New Roman" w:eastAsia="ArialMT" w:hAnsi="Times New Roman" w:cs="Times New Roman"/>
          <w:sz w:val="24"/>
          <w:szCs w:val="24"/>
        </w:rPr>
        <w:t xml:space="preserve">на </w:t>
      </w:r>
      <w:r w:rsidRPr="00D270DF">
        <w:rPr>
          <w:rFonts w:ascii="Times New Roman" w:eastAsia="ArialMT" w:hAnsi="Times New Roman" w:cs="Times New Roman"/>
          <w:sz w:val="24"/>
          <w:szCs w:val="24"/>
        </w:rPr>
        <w:t>~</w:t>
      </w:r>
      <w:r>
        <w:rPr>
          <w:rFonts w:ascii="Times New Roman" w:eastAsia="ArialMT" w:hAnsi="Times New Roman" w:cs="Times New Roman"/>
          <w:sz w:val="24"/>
          <w:szCs w:val="24"/>
        </w:rPr>
        <w:t xml:space="preserve">10%), чем </w:t>
      </w:r>
      <w:r>
        <w:rPr>
          <w:rFonts w:ascii="Times New Roman" w:hAnsi="Times New Roman" w:cs="Times New Roman"/>
          <w:sz w:val="24"/>
          <w:szCs w:val="24"/>
        </w:rPr>
        <w:t>Токем-250</w:t>
      </w:r>
      <w:r>
        <w:rPr>
          <w:rFonts w:ascii="Times New Roman" w:eastAsia="ArialMT" w:hAnsi="Times New Roman" w:cs="Times New Roman"/>
          <w:sz w:val="24"/>
          <w:szCs w:val="24"/>
        </w:rPr>
        <w:t xml:space="preserve">. Повышенная избирательность </w:t>
      </w:r>
      <w:r w:rsidRPr="00306C83">
        <w:rPr>
          <w:rFonts w:ascii="Times New Roman" w:hAnsi="Times New Roman" w:cs="Times New Roman"/>
          <w:color w:val="000000" w:themeColor="text1"/>
          <w:sz w:val="24"/>
          <w:szCs w:val="24"/>
        </w:rPr>
        <w:t xml:space="preserve">по отношению к </w:t>
      </w:r>
      <w:proofErr w:type="spellStart"/>
      <w:r w:rsidRPr="00306C83">
        <w:rPr>
          <w:rFonts w:ascii="Times New Roman" w:eastAsia="ArialMT" w:hAnsi="Times New Roman" w:cs="Times New Roman"/>
          <w:sz w:val="24"/>
          <w:szCs w:val="24"/>
          <w:lang w:val="en-US"/>
        </w:rPr>
        <w:t>Mn</w:t>
      </w:r>
      <w:proofErr w:type="spellEnd"/>
      <w:r w:rsidRPr="00306C83">
        <w:rPr>
          <w:rFonts w:ascii="Times New Roman" w:eastAsia="ArialMT" w:hAnsi="Times New Roman" w:cs="Times New Roman"/>
          <w:sz w:val="24"/>
          <w:szCs w:val="24"/>
          <w:vertAlign w:val="superscript"/>
        </w:rPr>
        <w:t>2+</w:t>
      </w:r>
      <w:r>
        <w:rPr>
          <w:rFonts w:ascii="Times New Roman" w:eastAsia="ArialMT" w:hAnsi="Times New Roman" w:cs="Times New Roman"/>
          <w:sz w:val="24"/>
          <w:szCs w:val="24"/>
        </w:rPr>
        <w:t xml:space="preserve"> и </w:t>
      </w:r>
      <w:proofErr w:type="spellStart"/>
      <w:r>
        <w:rPr>
          <w:rFonts w:ascii="Times New Roman" w:eastAsia="ArialMT" w:hAnsi="Times New Roman" w:cs="Times New Roman"/>
          <w:sz w:val="24"/>
          <w:szCs w:val="24"/>
        </w:rPr>
        <w:t>набухаемость</w:t>
      </w:r>
      <w:proofErr w:type="spellEnd"/>
      <w:r>
        <w:rPr>
          <w:rFonts w:ascii="Times New Roman" w:eastAsia="ArialMT" w:hAnsi="Times New Roman" w:cs="Times New Roman"/>
          <w:sz w:val="24"/>
          <w:szCs w:val="24"/>
        </w:rPr>
        <w:t xml:space="preserve"> КБ-2Э16</w:t>
      </w:r>
      <w:r>
        <w:rPr>
          <w:rFonts w:ascii="Times New Roman" w:hAnsi="Times New Roman" w:cs="Times New Roman"/>
          <w:color w:val="000000" w:themeColor="text1"/>
          <w:sz w:val="24"/>
          <w:szCs w:val="24"/>
        </w:rPr>
        <w:t xml:space="preserve">, возможно, </w:t>
      </w:r>
      <w:proofErr w:type="gramStart"/>
      <w:r>
        <w:rPr>
          <w:rFonts w:ascii="Times New Roman" w:hAnsi="Times New Roman" w:cs="Times New Roman"/>
          <w:color w:val="000000" w:themeColor="text1"/>
          <w:sz w:val="24"/>
          <w:szCs w:val="24"/>
        </w:rPr>
        <w:t>связаны</w:t>
      </w:r>
      <w:proofErr w:type="gramEnd"/>
      <w:r>
        <w:rPr>
          <w:rFonts w:ascii="Times New Roman" w:hAnsi="Times New Roman" w:cs="Times New Roman"/>
          <w:color w:val="000000" w:themeColor="text1"/>
          <w:sz w:val="24"/>
          <w:szCs w:val="24"/>
        </w:rPr>
        <w:t xml:space="preserve"> с его макросетчатой структурой, обеспечивающей большую пористость ионита и доступность функциональных групп для обмена.</w:t>
      </w:r>
    </w:p>
    <w:p w:rsidR="0011415C" w:rsidRDefault="00D703C8" w:rsidP="00FD5A6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00D17E52">
        <w:rPr>
          <w:rFonts w:ascii="Times New Roman" w:hAnsi="Times New Roman" w:cs="Times New Roman"/>
          <w:sz w:val="24"/>
          <w:szCs w:val="24"/>
        </w:rPr>
        <w:t>збирательност</w:t>
      </w:r>
      <w:r>
        <w:rPr>
          <w:rFonts w:ascii="Times New Roman" w:hAnsi="Times New Roman" w:cs="Times New Roman"/>
          <w:sz w:val="24"/>
          <w:szCs w:val="24"/>
        </w:rPr>
        <w:t>ь</w:t>
      </w:r>
      <w:r w:rsidR="00D17E52" w:rsidRPr="00306C83">
        <w:rPr>
          <w:rFonts w:ascii="Times New Roman" w:hAnsi="Times New Roman" w:cs="Times New Roman"/>
          <w:sz w:val="24"/>
          <w:szCs w:val="24"/>
        </w:rPr>
        <w:t xml:space="preserve"> </w:t>
      </w:r>
      <w:r w:rsidR="00E60188">
        <w:rPr>
          <w:rFonts w:ascii="Times New Roman" w:hAnsi="Times New Roman" w:cs="Times New Roman"/>
          <w:sz w:val="24"/>
          <w:szCs w:val="24"/>
        </w:rPr>
        <w:t xml:space="preserve">поглощения </w:t>
      </w:r>
      <w:r w:rsidR="00D17E52">
        <w:rPr>
          <w:rFonts w:ascii="Times New Roman" w:hAnsi="Times New Roman" w:cs="Times New Roman"/>
          <w:sz w:val="24"/>
          <w:szCs w:val="24"/>
        </w:rPr>
        <w:t xml:space="preserve"> ионов </w:t>
      </w:r>
      <w:proofErr w:type="spellStart"/>
      <w:r w:rsidR="00D17E52" w:rsidRPr="00306C83">
        <w:rPr>
          <w:rFonts w:ascii="Times New Roman" w:eastAsia="ArialMT" w:hAnsi="Times New Roman" w:cs="Times New Roman"/>
          <w:sz w:val="24"/>
          <w:szCs w:val="24"/>
          <w:lang w:val="en-US"/>
        </w:rPr>
        <w:t>Mn</w:t>
      </w:r>
      <w:proofErr w:type="spellEnd"/>
      <w:r w:rsidR="00D17E52" w:rsidRPr="00306C83">
        <w:rPr>
          <w:rFonts w:ascii="Times New Roman" w:eastAsia="ArialMT" w:hAnsi="Times New Roman" w:cs="Times New Roman"/>
          <w:sz w:val="24"/>
          <w:szCs w:val="24"/>
          <w:vertAlign w:val="superscript"/>
        </w:rPr>
        <w:t>2+</w:t>
      </w:r>
      <w:r w:rsidR="00E60188">
        <w:rPr>
          <w:rFonts w:ascii="Times New Roman" w:eastAsia="ArialMT" w:hAnsi="Times New Roman" w:cs="Times New Roman"/>
          <w:sz w:val="24"/>
          <w:szCs w:val="24"/>
        </w:rPr>
        <w:t xml:space="preserve"> </w:t>
      </w:r>
      <w:r w:rsidRPr="00306C83">
        <w:rPr>
          <w:rFonts w:ascii="Times New Roman" w:hAnsi="Times New Roman" w:cs="Times New Roman"/>
          <w:sz w:val="24"/>
          <w:szCs w:val="24"/>
        </w:rPr>
        <w:t>катионит</w:t>
      </w:r>
      <w:r>
        <w:rPr>
          <w:rFonts w:ascii="Times New Roman" w:hAnsi="Times New Roman" w:cs="Times New Roman"/>
          <w:sz w:val="24"/>
          <w:szCs w:val="24"/>
        </w:rPr>
        <w:t xml:space="preserve">ами </w:t>
      </w:r>
      <w:r w:rsidRPr="00306C83">
        <w:rPr>
          <w:rFonts w:ascii="Times New Roman" w:hAnsi="Times New Roman" w:cs="Times New Roman"/>
          <w:sz w:val="24"/>
          <w:szCs w:val="24"/>
        </w:rPr>
        <w:t>Т</w:t>
      </w:r>
      <w:r>
        <w:rPr>
          <w:rFonts w:ascii="Times New Roman" w:hAnsi="Times New Roman" w:cs="Times New Roman"/>
          <w:sz w:val="24"/>
          <w:szCs w:val="24"/>
        </w:rPr>
        <w:t>окем-250 и КБ-2Э-16 в области низких концентраций изучали</w:t>
      </w:r>
      <w:r w:rsidR="00E60188">
        <w:rPr>
          <w:rFonts w:ascii="Times New Roman" w:hAnsi="Times New Roman" w:cs="Times New Roman"/>
          <w:sz w:val="24"/>
          <w:szCs w:val="24"/>
        </w:rPr>
        <w:t xml:space="preserve"> по характеру</w:t>
      </w:r>
      <w:r w:rsidR="00D17E52">
        <w:rPr>
          <w:rFonts w:ascii="Times New Roman" w:hAnsi="Times New Roman" w:cs="Times New Roman"/>
          <w:sz w:val="24"/>
          <w:szCs w:val="24"/>
        </w:rPr>
        <w:t xml:space="preserve"> изотерм сорбции. </w:t>
      </w:r>
    </w:p>
    <w:p w:rsidR="004E4DC7" w:rsidRDefault="004E4DC7" w:rsidP="004E4DC7">
      <w:pPr>
        <w:spacing w:after="0" w:line="240" w:lineRule="auto"/>
        <w:jc w:val="center"/>
        <w:rPr>
          <w:rFonts w:ascii="Times New Roman" w:hAnsi="Times New Roman" w:cs="Times New Roman"/>
          <w:sz w:val="24"/>
          <w:szCs w:val="24"/>
        </w:rPr>
      </w:pPr>
      <w:r>
        <w:rPr>
          <w:noProof/>
          <w:lang w:eastAsia="ru-RU"/>
        </w:rPr>
        <w:drawing>
          <wp:inline distT="0" distB="0" distL="0" distR="0">
            <wp:extent cx="2713939" cy="214335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7662" w:rsidRDefault="00307662" w:rsidP="00416A9F">
      <w:pPr>
        <w:spacing w:after="0"/>
        <w:jc w:val="center"/>
        <w:rPr>
          <w:rFonts w:ascii="Times New Roman" w:hAnsi="Times New Roman" w:cs="Times New Roman"/>
          <w:sz w:val="24"/>
          <w:szCs w:val="24"/>
        </w:rPr>
      </w:pPr>
    </w:p>
    <w:p w:rsidR="004E4DC7" w:rsidRDefault="004E4DC7" w:rsidP="00416A9F">
      <w:pPr>
        <w:spacing w:after="0"/>
        <w:jc w:val="center"/>
        <w:rPr>
          <w:rFonts w:ascii="Times New Roman" w:hAnsi="Times New Roman" w:cs="Times New Roman"/>
          <w:bCs/>
          <w:sz w:val="24"/>
          <w:szCs w:val="24"/>
        </w:rPr>
      </w:pPr>
      <w:r>
        <w:rPr>
          <w:rFonts w:ascii="Times New Roman" w:hAnsi="Times New Roman" w:cs="Times New Roman"/>
          <w:sz w:val="24"/>
          <w:szCs w:val="24"/>
        </w:rPr>
        <w:t>Рисунок</w:t>
      </w:r>
      <w:r w:rsidR="00D703C8">
        <w:rPr>
          <w:rFonts w:ascii="Times New Roman" w:hAnsi="Times New Roman" w:cs="Times New Roman"/>
          <w:sz w:val="24"/>
          <w:szCs w:val="24"/>
        </w:rPr>
        <w:t xml:space="preserve"> 1 </w:t>
      </w:r>
      <w:r w:rsidR="00EB768F">
        <w:rPr>
          <w:rFonts w:ascii="Times New Roman" w:hAnsi="Times New Roman" w:cs="Times New Roman"/>
          <w:sz w:val="24"/>
          <w:szCs w:val="24"/>
        </w:rPr>
        <w:t xml:space="preserve">– </w:t>
      </w:r>
      <w:r w:rsidRPr="004E4DC7">
        <w:rPr>
          <w:rFonts w:ascii="Times New Roman" w:hAnsi="Times New Roman" w:cs="Times New Roman"/>
          <w:bCs/>
          <w:sz w:val="24"/>
          <w:szCs w:val="24"/>
        </w:rPr>
        <w:t>Изотермы сорбц</w:t>
      </w:r>
      <w:proofErr w:type="gramStart"/>
      <w:r w:rsidRPr="004E4DC7">
        <w:rPr>
          <w:rFonts w:ascii="Times New Roman" w:hAnsi="Times New Roman" w:cs="Times New Roman"/>
          <w:bCs/>
          <w:sz w:val="24"/>
          <w:szCs w:val="24"/>
        </w:rPr>
        <w:t>ии ио</w:t>
      </w:r>
      <w:proofErr w:type="gramEnd"/>
      <w:r w:rsidRPr="004E4DC7">
        <w:rPr>
          <w:rFonts w:ascii="Times New Roman" w:hAnsi="Times New Roman" w:cs="Times New Roman"/>
          <w:bCs/>
          <w:sz w:val="24"/>
          <w:szCs w:val="24"/>
        </w:rPr>
        <w:t xml:space="preserve">нов </w:t>
      </w:r>
      <w:proofErr w:type="spellStart"/>
      <w:r w:rsidRPr="004E4DC7">
        <w:rPr>
          <w:rFonts w:ascii="Times New Roman" w:hAnsi="Times New Roman" w:cs="Times New Roman"/>
          <w:bCs/>
          <w:sz w:val="24"/>
          <w:szCs w:val="24"/>
          <w:lang w:val="en-US"/>
        </w:rPr>
        <w:t>Mn</w:t>
      </w:r>
      <w:proofErr w:type="spellEnd"/>
      <w:r w:rsidRPr="004E4DC7">
        <w:rPr>
          <w:rFonts w:ascii="Times New Roman" w:hAnsi="Times New Roman" w:cs="Times New Roman"/>
          <w:bCs/>
          <w:sz w:val="24"/>
          <w:szCs w:val="24"/>
          <w:vertAlign w:val="superscript"/>
        </w:rPr>
        <w:t xml:space="preserve">2+ </w:t>
      </w:r>
      <w:r w:rsidRPr="004E4DC7">
        <w:rPr>
          <w:rFonts w:ascii="Times New Roman" w:hAnsi="Times New Roman" w:cs="Times New Roman"/>
          <w:bCs/>
          <w:sz w:val="24"/>
          <w:szCs w:val="24"/>
        </w:rPr>
        <w:t xml:space="preserve"> катионит</w:t>
      </w:r>
      <w:r w:rsidR="00D71DFD">
        <w:rPr>
          <w:rFonts w:ascii="Times New Roman" w:hAnsi="Times New Roman" w:cs="Times New Roman"/>
          <w:bCs/>
          <w:sz w:val="24"/>
          <w:szCs w:val="24"/>
        </w:rPr>
        <w:t>ами</w:t>
      </w:r>
      <w:r w:rsidRPr="004E4DC7">
        <w:rPr>
          <w:rFonts w:ascii="Times New Roman" w:hAnsi="Times New Roman" w:cs="Times New Roman"/>
          <w:bCs/>
          <w:sz w:val="24"/>
          <w:szCs w:val="24"/>
        </w:rPr>
        <w:t xml:space="preserve"> КБ-2Э-16 и Токем-250</w:t>
      </w:r>
    </w:p>
    <w:p w:rsidR="005C00CD" w:rsidRDefault="005C00CD" w:rsidP="00446760">
      <w:pPr>
        <w:spacing w:after="0" w:line="240" w:lineRule="auto"/>
        <w:ind w:firstLine="284"/>
        <w:jc w:val="both"/>
        <w:rPr>
          <w:rFonts w:ascii="Times New Roman" w:hAnsi="Times New Roman" w:cs="Times New Roman"/>
          <w:sz w:val="24"/>
          <w:szCs w:val="24"/>
        </w:rPr>
      </w:pPr>
    </w:p>
    <w:p w:rsidR="00446760" w:rsidRPr="003F6C0E" w:rsidRDefault="00307662" w:rsidP="0044676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Кривые изотерм ионитов (рис. 1) </w:t>
      </w:r>
      <w:r w:rsidRPr="00776ECC">
        <w:rPr>
          <w:rFonts w:ascii="Times New Roman" w:hAnsi="Times New Roman" w:cs="Times New Roman"/>
          <w:sz w:val="24"/>
          <w:szCs w:val="24"/>
        </w:rPr>
        <w:t>имеют</w:t>
      </w:r>
      <w:r>
        <w:rPr>
          <w:rFonts w:ascii="Times New Roman" w:hAnsi="Times New Roman" w:cs="Times New Roman"/>
          <w:sz w:val="24"/>
          <w:szCs w:val="24"/>
        </w:rPr>
        <w:t xml:space="preserve"> выпуклый </w:t>
      </w:r>
      <w:r w:rsidR="00CB409B">
        <w:rPr>
          <w:rFonts w:ascii="Times New Roman" w:hAnsi="Times New Roman" w:cs="Times New Roman"/>
          <w:sz w:val="24"/>
          <w:szCs w:val="24"/>
        </w:rPr>
        <w:t>вид</w:t>
      </w:r>
      <w:r w:rsidR="007B02D2">
        <w:rPr>
          <w:rFonts w:ascii="Times New Roman" w:hAnsi="Times New Roman" w:cs="Times New Roman"/>
          <w:sz w:val="24"/>
          <w:szCs w:val="24"/>
        </w:rPr>
        <w:t>.</w:t>
      </w:r>
      <w:r w:rsidR="00AE38D6">
        <w:rPr>
          <w:rFonts w:ascii="Times New Roman" w:hAnsi="Times New Roman" w:cs="Times New Roman"/>
          <w:sz w:val="24"/>
          <w:szCs w:val="24"/>
        </w:rPr>
        <w:t xml:space="preserve"> </w:t>
      </w:r>
      <w:r w:rsidR="007B02D2">
        <w:rPr>
          <w:rFonts w:ascii="Times New Roman" w:eastAsia="Calibri" w:hAnsi="Times New Roman" w:cs="Times New Roman"/>
          <w:sz w:val="24"/>
          <w:szCs w:val="24"/>
        </w:rPr>
        <w:t xml:space="preserve">Начальные участки </w:t>
      </w:r>
      <w:r w:rsidR="00776ECC">
        <w:rPr>
          <w:rFonts w:ascii="Times New Roman" w:eastAsia="Calibri" w:hAnsi="Times New Roman" w:cs="Times New Roman"/>
          <w:sz w:val="24"/>
          <w:szCs w:val="24"/>
        </w:rPr>
        <w:t xml:space="preserve">характеризуются </w:t>
      </w:r>
      <w:r w:rsidR="00776ECC">
        <w:rPr>
          <w:rFonts w:ascii="Times New Roman" w:hAnsi="Times New Roman" w:cs="Times New Roman"/>
          <w:sz w:val="24"/>
          <w:szCs w:val="24"/>
        </w:rPr>
        <w:t>крутым подъемом</w:t>
      </w:r>
      <w:r w:rsidR="00AE38D6">
        <w:rPr>
          <w:rFonts w:ascii="Times New Roman" w:hAnsi="Times New Roman" w:cs="Times New Roman"/>
          <w:sz w:val="24"/>
          <w:szCs w:val="24"/>
        </w:rPr>
        <w:t xml:space="preserve"> </w:t>
      </w:r>
      <w:r w:rsidR="007B02D2">
        <w:rPr>
          <w:rFonts w:ascii="Times New Roman" w:eastAsia="ArialMT" w:hAnsi="Times New Roman" w:cs="Times New Roman"/>
          <w:sz w:val="24"/>
          <w:szCs w:val="24"/>
        </w:rPr>
        <w:t>и практически совпадают</w:t>
      </w:r>
      <w:r w:rsidR="001E0A1B">
        <w:rPr>
          <w:rFonts w:ascii="Times New Roman" w:eastAsia="ArialMT" w:hAnsi="Times New Roman" w:cs="Times New Roman"/>
          <w:sz w:val="24"/>
          <w:szCs w:val="24"/>
        </w:rPr>
        <w:t xml:space="preserve"> </w:t>
      </w:r>
      <w:r w:rsidR="00776ECC">
        <w:rPr>
          <w:rFonts w:ascii="Times New Roman" w:eastAsia="ArialMT" w:hAnsi="Times New Roman" w:cs="Times New Roman"/>
          <w:sz w:val="24"/>
          <w:szCs w:val="24"/>
        </w:rPr>
        <w:t xml:space="preserve">для обоих </w:t>
      </w:r>
      <w:r w:rsidR="00776ECC" w:rsidRPr="004E4DC7">
        <w:rPr>
          <w:rFonts w:ascii="Times New Roman" w:eastAsia="ArialMT" w:hAnsi="Times New Roman" w:cs="Times New Roman"/>
          <w:sz w:val="24"/>
          <w:szCs w:val="24"/>
        </w:rPr>
        <w:t>к</w:t>
      </w:r>
      <w:r w:rsidR="00776ECC">
        <w:rPr>
          <w:rFonts w:ascii="Times New Roman" w:eastAsia="ArialMT" w:hAnsi="Times New Roman" w:cs="Times New Roman"/>
          <w:sz w:val="24"/>
          <w:szCs w:val="24"/>
        </w:rPr>
        <w:t>атионитов</w:t>
      </w:r>
      <w:r w:rsidR="007B02D2">
        <w:rPr>
          <w:rFonts w:ascii="Times New Roman" w:eastAsia="ArialMT" w:hAnsi="Times New Roman" w:cs="Times New Roman"/>
          <w:sz w:val="24"/>
          <w:szCs w:val="24"/>
        </w:rPr>
        <w:t xml:space="preserve">. Это </w:t>
      </w:r>
      <w:r w:rsidR="001E0A1B">
        <w:rPr>
          <w:rFonts w:ascii="Times New Roman" w:eastAsia="ArialMT" w:hAnsi="Times New Roman" w:cs="Times New Roman"/>
          <w:sz w:val="24"/>
          <w:szCs w:val="24"/>
        </w:rPr>
        <w:t>связано с</w:t>
      </w:r>
      <w:r w:rsidR="007B02D2">
        <w:rPr>
          <w:rFonts w:ascii="Times New Roman" w:eastAsia="ArialMT" w:hAnsi="Times New Roman" w:cs="Times New Roman"/>
          <w:sz w:val="24"/>
          <w:szCs w:val="24"/>
        </w:rPr>
        <w:t xml:space="preserve"> одинаковой природ</w:t>
      </w:r>
      <w:r w:rsidR="00776ECC">
        <w:rPr>
          <w:rFonts w:ascii="Times New Roman" w:eastAsia="ArialMT" w:hAnsi="Times New Roman" w:cs="Times New Roman"/>
          <w:sz w:val="24"/>
          <w:szCs w:val="24"/>
        </w:rPr>
        <w:t>ой</w:t>
      </w:r>
      <w:r w:rsidR="007B02D2">
        <w:rPr>
          <w:rFonts w:ascii="Times New Roman" w:eastAsia="ArialMT" w:hAnsi="Times New Roman" w:cs="Times New Roman"/>
          <w:sz w:val="24"/>
          <w:szCs w:val="24"/>
        </w:rPr>
        <w:t xml:space="preserve"> функциональных групп ионитов и</w:t>
      </w:r>
      <w:r w:rsidR="001E0A1B">
        <w:rPr>
          <w:rFonts w:ascii="Times New Roman" w:eastAsia="ArialMT" w:hAnsi="Times New Roman" w:cs="Times New Roman"/>
          <w:sz w:val="24"/>
          <w:szCs w:val="24"/>
        </w:rPr>
        <w:t>, соответственно, близкой</w:t>
      </w:r>
      <w:r w:rsidR="007B02D2">
        <w:rPr>
          <w:rFonts w:ascii="Times New Roman" w:eastAsia="ArialMT" w:hAnsi="Times New Roman" w:cs="Times New Roman"/>
          <w:sz w:val="24"/>
          <w:szCs w:val="24"/>
        </w:rPr>
        <w:t xml:space="preserve"> избирательност</w:t>
      </w:r>
      <w:r w:rsidR="00776ECC">
        <w:rPr>
          <w:rFonts w:ascii="Times New Roman" w:eastAsia="ArialMT" w:hAnsi="Times New Roman" w:cs="Times New Roman"/>
          <w:sz w:val="24"/>
          <w:szCs w:val="24"/>
        </w:rPr>
        <w:t>ью</w:t>
      </w:r>
      <w:r w:rsidR="007B02D2">
        <w:rPr>
          <w:rFonts w:ascii="Times New Roman" w:eastAsia="ArialMT" w:hAnsi="Times New Roman" w:cs="Times New Roman"/>
          <w:sz w:val="24"/>
          <w:szCs w:val="24"/>
        </w:rPr>
        <w:t xml:space="preserve"> поглощения </w:t>
      </w:r>
      <w:proofErr w:type="spellStart"/>
      <w:r w:rsidR="007B02D2" w:rsidRPr="004E4DC7">
        <w:rPr>
          <w:rFonts w:ascii="Times New Roman" w:hAnsi="Times New Roman" w:cs="Times New Roman"/>
          <w:bCs/>
          <w:sz w:val="24"/>
          <w:szCs w:val="24"/>
          <w:lang w:val="en-US"/>
        </w:rPr>
        <w:t>Mn</w:t>
      </w:r>
      <w:proofErr w:type="spellEnd"/>
      <w:r w:rsidR="007B02D2" w:rsidRPr="004E4DC7">
        <w:rPr>
          <w:rFonts w:ascii="Times New Roman" w:hAnsi="Times New Roman" w:cs="Times New Roman"/>
          <w:bCs/>
          <w:sz w:val="24"/>
          <w:szCs w:val="24"/>
          <w:vertAlign w:val="superscript"/>
        </w:rPr>
        <w:t>2+</w:t>
      </w:r>
      <w:r w:rsidR="007B02D2">
        <w:rPr>
          <w:rFonts w:ascii="Times New Roman" w:eastAsia="ArialMT" w:hAnsi="Times New Roman" w:cs="Times New Roman"/>
          <w:sz w:val="24"/>
          <w:szCs w:val="24"/>
        </w:rPr>
        <w:t xml:space="preserve">. С увеличением концентрации </w:t>
      </w:r>
      <w:r w:rsidR="007172C3">
        <w:rPr>
          <w:rFonts w:ascii="Times New Roman" w:eastAsia="ArialMT" w:hAnsi="Times New Roman" w:cs="Times New Roman"/>
          <w:sz w:val="24"/>
          <w:szCs w:val="24"/>
        </w:rPr>
        <w:t>марганца(</w:t>
      </w:r>
      <w:r w:rsidR="007172C3">
        <w:rPr>
          <w:rFonts w:ascii="Times New Roman" w:eastAsia="ArialMT" w:hAnsi="Times New Roman" w:cs="Times New Roman"/>
          <w:sz w:val="24"/>
          <w:szCs w:val="24"/>
          <w:lang w:val="en-US"/>
        </w:rPr>
        <w:t>II</w:t>
      </w:r>
      <w:r w:rsidR="007172C3" w:rsidRPr="007172C3">
        <w:rPr>
          <w:rFonts w:ascii="Times New Roman" w:eastAsia="ArialMT" w:hAnsi="Times New Roman" w:cs="Times New Roman"/>
          <w:sz w:val="24"/>
          <w:szCs w:val="24"/>
        </w:rPr>
        <w:t>)</w:t>
      </w:r>
      <w:r w:rsidR="007B02D2">
        <w:rPr>
          <w:rFonts w:ascii="Times New Roman" w:eastAsia="ArialMT" w:hAnsi="Times New Roman" w:cs="Times New Roman"/>
          <w:sz w:val="24"/>
          <w:szCs w:val="24"/>
        </w:rPr>
        <w:t xml:space="preserve"> в растворе </w:t>
      </w:r>
      <w:r w:rsidR="001E0A1B">
        <w:rPr>
          <w:rFonts w:ascii="Times New Roman" w:eastAsia="ArialMT" w:hAnsi="Times New Roman" w:cs="Times New Roman"/>
          <w:sz w:val="24"/>
          <w:szCs w:val="24"/>
        </w:rPr>
        <w:t>наблюдается уменьшение угла наклона линейных участков кривых после точек перегиба, что свидетельствует о снижении избирательности</w:t>
      </w:r>
      <w:r w:rsidR="007172C3">
        <w:rPr>
          <w:rFonts w:ascii="Times New Roman" w:eastAsia="ArialMT" w:hAnsi="Times New Roman" w:cs="Times New Roman"/>
          <w:sz w:val="24"/>
          <w:szCs w:val="24"/>
        </w:rPr>
        <w:t xml:space="preserve"> сорбции.</w:t>
      </w:r>
      <w:r w:rsidR="001E0A1B">
        <w:rPr>
          <w:rFonts w:ascii="Times New Roman" w:eastAsia="ArialMT" w:hAnsi="Times New Roman" w:cs="Times New Roman"/>
          <w:sz w:val="24"/>
          <w:szCs w:val="24"/>
        </w:rPr>
        <w:t xml:space="preserve"> </w:t>
      </w:r>
      <w:r w:rsidR="007172C3">
        <w:rPr>
          <w:rFonts w:ascii="Times New Roman" w:eastAsia="ArialMT" w:hAnsi="Times New Roman" w:cs="Times New Roman"/>
          <w:sz w:val="24"/>
          <w:szCs w:val="24"/>
        </w:rPr>
        <w:t xml:space="preserve">Катионит КБ-2Э-16 </w:t>
      </w:r>
      <w:r w:rsidR="001E0A1B">
        <w:rPr>
          <w:rFonts w:ascii="Times New Roman" w:eastAsia="ArialMT" w:hAnsi="Times New Roman" w:cs="Times New Roman"/>
          <w:sz w:val="24"/>
          <w:szCs w:val="24"/>
        </w:rPr>
        <w:t xml:space="preserve">в </w:t>
      </w:r>
      <w:r w:rsidR="001E0A1B">
        <w:rPr>
          <w:rFonts w:ascii="Times New Roman" w:hAnsi="Times New Roman" w:cs="Times New Roman"/>
          <w:sz w:val="24"/>
          <w:szCs w:val="24"/>
        </w:rPr>
        <w:t xml:space="preserve">сравнении с Токем-250 </w:t>
      </w:r>
      <w:r w:rsidR="00446760">
        <w:rPr>
          <w:rFonts w:ascii="Times New Roman" w:hAnsi="Times New Roman" w:cs="Times New Roman"/>
          <w:sz w:val="24"/>
          <w:szCs w:val="24"/>
        </w:rPr>
        <w:t xml:space="preserve">проявляет более </w:t>
      </w:r>
      <w:r w:rsidR="00446760" w:rsidRPr="001C5E9D">
        <w:rPr>
          <w:rFonts w:ascii="Times New Roman" w:hAnsi="Times New Roman" w:cs="Times New Roman"/>
          <w:sz w:val="24"/>
          <w:szCs w:val="24"/>
        </w:rPr>
        <w:t>высокую избирательность к ион</w:t>
      </w:r>
      <w:r w:rsidR="00446760">
        <w:rPr>
          <w:rFonts w:ascii="Times New Roman" w:hAnsi="Times New Roman" w:cs="Times New Roman"/>
          <w:sz w:val="24"/>
          <w:szCs w:val="24"/>
        </w:rPr>
        <w:t>ам</w:t>
      </w:r>
      <w:r w:rsidR="001E0A1B">
        <w:rPr>
          <w:rFonts w:ascii="Times New Roman" w:hAnsi="Times New Roman" w:cs="Times New Roman"/>
          <w:sz w:val="24"/>
          <w:szCs w:val="24"/>
        </w:rPr>
        <w:t xml:space="preserve"> </w:t>
      </w:r>
      <w:proofErr w:type="spellStart"/>
      <w:r w:rsidR="00446760" w:rsidRPr="004E4DC7">
        <w:rPr>
          <w:rFonts w:ascii="Times New Roman" w:hAnsi="Times New Roman" w:cs="Times New Roman"/>
          <w:bCs/>
          <w:sz w:val="24"/>
          <w:szCs w:val="24"/>
          <w:lang w:val="en-US"/>
        </w:rPr>
        <w:t>Mn</w:t>
      </w:r>
      <w:proofErr w:type="spellEnd"/>
      <w:r w:rsidR="00446760" w:rsidRPr="004E4DC7">
        <w:rPr>
          <w:rFonts w:ascii="Times New Roman" w:hAnsi="Times New Roman" w:cs="Times New Roman"/>
          <w:bCs/>
          <w:sz w:val="24"/>
          <w:szCs w:val="24"/>
          <w:vertAlign w:val="superscript"/>
        </w:rPr>
        <w:t>2+</w:t>
      </w:r>
      <w:r w:rsidR="00446760">
        <w:rPr>
          <w:rFonts w:ascii="Times New Roman" w:hAnsi="Times New Roman" w:cs="Times New Roman"/>
          <w:sz w:val="24"/>
          <w:szCs w:val="24"/>
        </w:rPr>
        <w:t>.</w:t>
      </w:r>
      <w:r w:rsidR="001E0A1B">
        <w:rPr>
          <w:rFonts w:ascii="Times New Roman" w:hAnsi="Times New Roman" w:cs="Times New Roman"/>
          <w:sz w:val="24"/>
          <w:szCs w:val="24"/>
        </w:rPr>
        <w:t xml:space="preserve"> </w:t>
      </w:r>
      <w:r w:rsidR="00446760">
        <w:rPr>
          <w:rFonts w:ascii="Times New Roman" w:hAnsi="Times New Roman" w:cs="Times New Roman"/>
          <w:sz w:val="24"/>
          <w:szCs w:val="24"/>
        </w:rPr>
        <w:t xml:space="preserve">Значения коэффициентов распределения ионов, рассчитанные по начальным участкам изотерм, </w:t>
      </w:r>
      <w:r w:rsidR="001E0A1B">
        <w:rPr>
          <w:rFonts w:ascii="Times New Roman" w:hAnsi="Times New Roman" w:cs="Times New Roman"/>
          <w:sz w:val="24"/>
          <w:szCs w:val="24"/>
        </w:rPr>
        <w:t xml:space="preserve">составляют </w:t>
      </w:r>
      <w:r w:rsidR="00262C6C">
        <w:rPr>
          <w:rFonts w:ascii="Times New Roman" w:hAnsi="Times New Roman" w:cs="Times New Roman"/>
          <w:sz w:val="24"/>
          <w:szCs w:val="24"/>
        </w:rPr>
        <w:t>~ (3,4 – 1,7)∙</w:t>
      </w:r>
      <w:r w:rsidR="00262C6C" w:rsidRPr="00262C6C">
        <w:rPr>
          <w:rFonts w:ascii="Times New Roman" w:hAnsi="Times New Roman" w:cs="Times New Roman"/>
          <w:sz w:val="24"/>
          <w:szCs w:val="24"/>
        </w:rPr>
        <w:t>10</w:t>
      </w:r>
      <w:r w:rsidR="00262C6C" w:rsidRPr="00262C6C">
        <w:rPr>
          <w:rFonts w:ascii="Times New Roman" w:hAnsi="Times New Roman" w:cs="Times New Roman"/>
          <w:sz w:val="24"/>
          <w:szCs w:val="24"/>
          <w:vertAlign w:val="superscript"/>
        </w:rPr>
        <w:t>3</w:t>
      </w:r>
      <w:r w:rsidR="00262C6C">
        <w:rPr>
          <w:rFonts w:ascii="Times New Roman" w:hAnsi="Times New Roman" w:cs="Times New Roman"/>
          <w:sz w:val="24"/>
          <w:szCs w:val="24"/>
        </w:rPr>
        <w:t xml:space="preserve"> </w:t>
      </w:r>
      <w:r w:rsidR="00262C6C" w:rsidRPr="00262C6C">
        <w:rPr>
          <w:rFonts w:ascii="Times New Roman" w:eastAsia="ArialMT" w:hAnsi="Times New Roman" w:cs="Times New Roman"/>
          <w:sz w:val="24"/>
          <w:szCs w:val="24"/>
        </w:rPr>
        <w:t>для</w:t>
      </w:r>
      <w:r w:rsidR="00446760">
        <w:rPr>
          <w:rFonts w:ascii="Times New Roman" w:eastAsia="ArialMT" w:hAnsi="Times New Roman" w:cs="Times New Roman"/>
          <w:sz w:val="24"/>
          <w:szCs w:val="24"/>
        </w:rPr>
        <w:t xml:space="preserve"> сорбент</w:t>
      </w:r>
      <w:r w:rsidR="00262C6C">
        <w:rPr>
          <w:rFonts w:ascii="Times New Roman" w:eastAsia="ArialMT" w:hAnsi="Times New Roman" w:cs="Times New Roman"/>
          <w:sz w:val="24"/>
          <w:szCs w:val="24"/>
        </w:rPr>
        <w:t>а</w:t>
      </w:r>
      <w:r w:rsidR="00446760">
        <w:rPr>
          <w:rFonts w:ascii="Times New Roman" w:eastAsia="ArialMT" w:hAnsi="Times New Roman" w:cs="Times New Roman"/>
          <w:sz w:val="24"/>
          <w:szCs w:val="24"/>
        </w:rPr>
        <w:t xml:space="preserve"> макросетчатой структуры</w:t>
      </w:r>
      <w:r w:rsidR="00262C6C">
        <w:rPr>
          <w:rFonts w:ascii="Times New Roman" w:hAnsi="Times New Roman" w:cs="Times New Roman"/>
          <w:sz w:val="24"/>
          <w:szCs w:val="24"/>
        </w:rPr>
        <w:t xml:space="preserve"> и практически вдвое ниже ~ (2,02 – 0,61)∙</w:t>
      </w:r>
      <w:r w:rsidR="00262C6C" w:rsidRPr="00262C6C">
        <w:rPr>
          <w:rFonts w:ascii="Times New Roman" w:hAnsi="Times New Roman" w:cs="Times New Roman"/>
          <w:sz w:val="24"/>
          <w:szCs w:val="24"/>
        </w:rPr>
        <w:t>10</w:t>
      </w:r>
      <w:r w:rsidR="00262C6C" w:rsidRPr="00262C6C">
        <w:rPr>
          <w:rFonts w:ascii="Times New Roman" w:hAnsi="Times New Roman" w:cs="Times New Roman"/>
          <w:sz w:val="24"/>
          <w:szCs w:val="24"/>
          <w:vertAlign w:val="superscript"/>
        </w:rPr>
        <w:t>3</w:t>
      </w:r>
      <w:r w:rsidR="00262C6C">
        <w:rPr>
          <w:rFonts w:ascii="Times New Roman" w:hAnsi="Times New Roman" w:cs="Times New Roman"/>
          <w:sz w:val="24"/>
          <w:szCs w:val="24"/>
        </w:rPr>
        <w:t xml:space="preserve"> </w:t>
      </w:r>
      <w:r w:rsidR="00446760" w:rsidRPr="00262C6C">
        <w:rPr>
          <w:rFonts w:ascii="Times New Roman" w:hAnsi="Times New Roman" w:cs="Times New Roman"/>
          <w:sz w:val="24"/>
          <w:szCs w:val="24"/>
        </w:rPr>
        <w:t>для</w:t>
      </w:r>
      <w:r w:rsidR="00446760">
        <w:rPr>
          <w:rFonts w:ascii="Times New Roman" w:hAnsi="Times New Roman" w:cs="Times New Roman"/>
          <w:sz w:val="24"/>
          <w:szCs w:val="24"/>
        </w:rPr>
        <w:t xml:space="preserve"> катионита гелевого типа</w:t>
      </w:r>
      <w:r w:rsidR="00262C6C">
        <w:rPr>
          <w:rFonts w:ascii="Times New Roman" w:hAnsi="Times New Roman" w:cs="Times New Roman"/>
          <w:sz w:val="24"/>
          <w:szCs w:val="24"/>
        </w:rPr>
        <w:t>.</w:t>
      </w:r>
      <w:r w:rsidR="00446760">
        <w:rPr>
          <w:rFonts w:ascii="Times New Roman" w:hAnsi="Times New Roman" w:cs="Times New Roman"/>
          <w:sz w:val="24"/>
          <w:szCs w:val="24"/>
        </w:rPr>
        <w:t xml:space="preserve"> </w:t>
      </w:r>
    </w:p>
    <w:p w:rsidR="004E4DC7" w:rsidRDefault="000029F5" w:rsidP="009D432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работе определяли динамические характеристики сорбентов, необходимые д</w:t>
      </w:r>
      <w:r w:rsidR="00B26326">
        <w:rPr>
          <w:rFonts w:ascii="Times New Roman" w:hAnsi="Times New Roman" w:cs="Times New Roman"/>
          <w:sz w:val="24"/>
          <w:szCs w:val="24"/>
        </w:rPr>
        <w:t xml:space="preserve">ля </w:t>
      </w:r>
      <w:r>
        <w:rPr>
          <w:rFonts w:ascii="Times New Roman" w:hAnsi="Times New Roman" w:cs="Times New Roman"/>
          <w:sz w:val="24"/>
          <w:szCs w:val="24"/>
        </w:rPr>
        <w:t xml:space="preserve">выбора </w:t>
      </w:r>
      <w:r w:rsidR="003F6C0E">
        <w:rPr>
          <w:rFonts w:ascii="Times New Roman" w:hAnsi="Times New Roman" w:cs="Times New Roman"/>
          <w:sz w:val="24"/>
          <w:szCs w:val="24"/>
        </w:rPr>
        <w:t>наполнител</w:t>
      </w:r>
      <w:r w:rsidR="00083C15">
        <w:rPr>
          <w:rFonts w:ascii="Times New Roman" w:hAnsi="Times New Roman" w:cs="Times New Roman"/>
          <w:sz w:val="24"/>
          <w:szCs w:val="24"/>
        </w:rPr>
        <w:t>я</w:t>
      </w:r>
      <w:r w:rsidR="003F6C0E">
        <w:rPr>
          <w:rFonts w:ascii="Times New Roman" w:hAnsi="Times New Roman" w:cs="Times New Roman"/>
          <w:sz w:val="24"/>
          <w:szCs w:val="24"/>
        </w:rPr>
        <w:t xml:space="preserve"> </w:t>
      </w:r>
      <w:proofErr w:type="gramStart"/>
      <w:r w:rsidR="003F6C0E">
        <w:rPr>
          <w:rFonts w:ascii="Times New Roman" w:hAnsi="Times New Roman" w:cs="Times New Roman"/>
          <w:sz w:val="24"/>
          <w:szCs w:val="24"/>
        </w:rPr>
        <w:t>тест-индикаторн</w:t>
      </w:r>
      <w:r w:rsidR="00083C15">
        <w:rPr>
          <w:rFonts w:ascii="Times New Roman" w:hAnsi="Times New Roman" w:cs="Times New Roman"/>
          <w:sz w:val="24"/>
          <w:szCs w:val="24"/>
        </w:rPr>
        <w:t>ой</w:t>
      </w:r>
      <w:proofErr w:type="gramEnd"/>
      <w:r w:rsidR="00083C15">
        <w:rPr>
          <w:rFonts w:ascii="Times New Roman" w:hAnsi="Times New Roman" w:cs="Times New Roman"/>
          <w:sz w:val="24"/>
          <w:szCs w:val="24"/>
        </w:rPr>
        <w:t xml:space="preserve"> труб</w:t>
      </w:r>
      <w:r w:rsidR="003F6C0E">
        <w:rPr>
          <w:rFonts w:ascii="Times New Roman" w:hAnsi="Times New Roman" w:cs="Times New Roman"/>
          <w:sz w:val="24"/>
          <w:szCs w:val="24"/>
        </w:rPr>
        <w:t>к</w:t>
      </w:r>
      <w:r w:rsidR="00083C15">
        <w:rPr>
          <w:rFonts w:ascii="Times New Roman" w:hAnsi="Times New Roman" w:cs="Times New Roman"/>
          <w:sz w:val="24"/>
          <w:szCs w:val="24"/>
        </w:rPr>
        <w:t>и, в котором</w:t>
      </w:r>
      <w:r w:rsidR="005C4A80">
        <w:rPr>
          <w:rFonts w:ascii="Times New Roman" w:hAnsi="Times New Roman" w:cs="Times New Roman"/>
          <w:sz w:val="24"/>
          <w:szCs w:val="24"/>
        </w:rPr>
        <w:t xml:space="preserve"> формир</w:t>
      </w:r>
      <w:r w:rsidR="00083C15">
        <w:rPr>
          <w:rFonts w:ascii="Times New Roman" w:hAnsi="Times New Roman" w:cs="Times New Roman"/>
          <w:sz w:val="24"/>
          <w:szCs w:val="24"/>
        </w:rPr>
        <w:t>уются более</w:t>
      </w:r>
      <w:r w:rsidR="005C4A80">
        <w:rPr>
          <w:rFonts w:ascii="Times New Roman" w:hAnsi="Times New Roman" w:cs="Times New Roman"/>
          <w:sz w:val="24"/>
          <w:szCs w:val="24"/>
        </w:rPr>
        <w:t xml:space="preserve"> четки</w:t>
      </w:r>
      <w:r w:rsidR="00083C15">
        <w:rPr>
          <w:rFonts w:ascii="Times New Roman" w:hAnsi="Times New Roman" w:cs="Times New Roman"/>
          <w:sz w:val="24"/>
          <w:szCs w:val="24"/>
        </w:rPr>
        <w:t>е</w:t>
      </w:r>
      <w:r w:rsidR="005C4A80">
        <w:rPr>
          <w:rFonts w:ascii="Times New Roman" w:hAnsi="Times New Roman" w:cs="Times New Roman"/>
          <w:sz w:val="24"/>
          <w:szCs w:val="24"/>
        </w:rPr>
        <w:t xml:space="preserve"> хроматографически</w:t>
      </w:r>
      <w:r w:rsidR="00083C15">
        <w:rPr>
          <w:rFonts w:ascii="Times New Roman" w:hAnsi="Times New Roman" w:cs="Times New Roman"/>
          <w:sz w:val="24"/>
          <w:szCs w:val="24"/>
        </w:rPr>
        <w:t>е</w:t>
      </w:r>
      <w:r w:rsidR="005C4A80">
        <w:rPr>
          <w:rFonts w:ascii="Times New Roman" w:hAnsi="Times New Roman" w:cs="Times New Roman"/>
          <w:sz w:val="24"/>
          <w:szCs w:val="24"/>
        </w:rPr>
        <w:t xml:space="preserve"> зон</w:t>
      </w:r>
      <w:r w:rsidR="00083C15">
        <w:rPr>
          <w:rFonts w:ascii="Times New Roman" w:hAnsi="Times New Roman" w:cs="Times New Roman"/>
          <w:sz w:val="24"/>
          <w:szCs w:val="24"/>
        </w:rPr>
        <w:t>ы</w:t>
      </w:r>
      <w:r w:rsidR="00307662">
        <w:rPr>
          <w:rFonts w:ascii="Times New Roman" w:hAnsi="Times New Roman" w:cs="Times New Roman"/>
          <w:sz w:val="24"/>
          <w:szCs w:val="24"/>
        </w:rPr>
        <w:t xml:space="preserve"> ионов</w:t>
      </w:r>
      <w:r w:rsidR="00153C5B">
        <w:rPr>
          <w:rFonts w:ascii="Times New Roman" w:hAnsi="Times New Roman" w:cs="Times New Roman"/>
          <w:sz w:val="24"/>
          <w:szCs w:val="24"/>
        </w:rPr>
        <w:t>.</w:t>
      </w:r>
      <w:r w:rsidR="00C70585">
        <w:rPr>
          <w:rFonts w:ascii="Times New Roman" w:hAnsi="Times New Roman" w:cs="Times New Roman"/>
          <w:sz w:val="24"/>
          <w:szCs w:val="24"/>
        </w:rPr>
        <w:t xml:space="preserve"> Э</w:t>
      </w:r>
      <w:r w:rsidR="00083C15">
        <w:rPr>
          <w:rFonts w:ascii="Times New Roman" w:hAnsi="Times New Roman" w:cs="Times New Roman"/>
          <w:sz w:val="24"/>
          <w:szCs w:val="24"/>
        </w:rPr>
        <w:t xml:space="preserve">то </w:t>
      </w:r>
      <w:r w:rsidR="005C4A80">
        <w:rPr>
          <w:rFonts w:ascii="Times New Roman" w:hAnsi="Times New Roman" w:cs="Times New Roman"/>
          <w:sz w:val="24"/>
          <w:szCs w:val="24"/>
        </w:rPr>
        <w:t>обеспеч</w:t>
      </w:r>
      <w:r w:rsidR="00307662">
        <w:rPr>
          <w:rFonts w:ascii="Times New Roman" w:hAnsi="Times New Roman" w:cs="Times New Roman"/>
          <w:sz w:val="24"/>
          <w:szCs w:val="24"/>
        </w:rPr>
        <w:t>и</w:t>
      </w:r>
      <w:r w:rsidR="00153C5B">
        <w:rPr>
          <w:rFonts w:ascii="Times New Roman" w:hAnsi="Times New Roman" w:cs="Times New Roman"/>
          <w:sz w:val="24"/>
          <w:szCs w:val="24"/>
        </w:rPr>
        <w:t>вае</w:t>
      </w:r>
      <w:r w:rsidR="005C4A80">
        <w:rPr>
          <w:rFonts w:ascii="Times New Roman" w:hAnsi="Times New Roman" w:cs="Times New Roman"/>
          <w:sz w:val="24"/>
          <w:szCs w:val="24"/>
        </w:rPr>
        <w:t xml:space="preserve">т более </w:t>
      </w:r>
      <w:r w:rsidR="00307662">
        <w:rPr>
          <w:rFonts w:ascii="Times New Roman" w:hAnsi="Times New Roman" w:cs="Times New Roman"/>
          <w:sz w:val="24"/>
          <w:szCs w:val="24"/>
        </w:rPr>
        <w:t>точн</w:t>
      </w:r>
      <w:r w:rsidR="00EF5C02">
        <w:rPr>
          <w:rFonts w:ascii="Times New Roman" w:hAnsi="Times New Roman" w:cs="Times New Roman"/>
          <w:sz w:val="24"/>
          <w:szCs w:val="24"/>
        </w:rPr>
        <w:t>ую</w:t>
      </w:r>
      <w:r w:rsidR="00B26326">
        <w:rPr>
          <w:rFonts w:ascii="Times New Roman" w:hAnsi="Times New Roman" w:cs="Times New Roman"/>
          <w:sz w:val="24"/>
          <w:szCs w:val="24"/>
        </w:rPr>
        <w:t xml:space="preserve"> </w:t>
      </w:r>
      <w:r w:rsidR="00EF5C02">
        <w:rPr>
          <w:rFonts w:ascii="Times New Roman" w:hAnsi="Times New Roman" w:cs="Times New Roman"/>
          <w:sz w:val="24"/>
          <w:szCs w:val="24"/>
        </w:rPr>
        <w:t>оценку</w:t>
      </w:r>
      <w:r w:rsidR="005C4A80">
        <w:rPr>
          <w:rFonts w:ascii="Times New Roman" w:hAnsi="Times New Roman" w:cs="Times New Roman"/>
          <w:sz w:val="24"/>
          <w:szCs w:val="24"/>
        </w:rPr>
        <w:t xml:space="preserve"> концентрации</w:t>
      </w:r>
      <w:r w:rsidR="006A3E93">
        <w:rPr>
          <w:rFonts w:ascii="Times New Roman" w:hAnsi="Times New Roman" w:cs="Times New Roman"/>
          <w:sz w:val="24"/>
          <w:szCs w:val="24"/>
        </w:rPr>
        <w:t>.</w:t>
      </w:r>
      <w:r w:rsidR="005C4A80">
        <w:rPr>
          <w:rFonts w:ascii="Times New Roman" w:hAnsi="Times New Roman" w:cs="Times New Roman"/>
          <w:sz w:val="24"/>
          <w:szCs w:val="24"/>
        </w:rPr>
        <w:t xml:space="preserve"> </w:t>
      </w:r>
    </w:p>
    <w:p w:rsidR="00725B4B" w:rsidRDefault="00776ECC" w:rsidP="0002317D">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Выходные кривые сорбции марганца(</w:t>
      </w:r>
      <w:r>
        <w:rPr>
          <w:rFonts w:ascii="Times New Roman" w:eastAsia="Calibri" w:hAnsi="Times New Roman" w:cs="Times New Roman"/>
          <w:sz w:val="24"/>
          <w:szCs w:val="24"/>
          <w:lang w:val="en-US"/>
        </w:rPr>
        <w:t>II</w:t>
      </w:r>
      <w:r w:rsidRPr="001C5E9D">
        <w:rPr>
          <w:rFonts w:ascii="Times New Roman" w:eastAsia="Calibri" w:hAnsi="Times New Roman" w:cs="Times New Roman"/>
          <w:sz w:val="24"/>
          <w:szCs w:val="24"/>
        </w:rPr>
        <w:t>)</w:t>
      </w:r>
      <w:r w:rsidR="000029D0">
        <w:rPr>
          <w:rFonts w:ascii="Times New Roman" w:eastAsia="Calibri" w:hAnsi="Times New Roman" w:cs="Times New Roman"/>
          <w:sz w:val="24"/>
          <w:szCs w:val="24"/>
        </w:rPr>
        <w:t xml:space="preserve"> </w:t>
      </w:r>
      <w:r w:rsidR="009D4326">
        <w:rPr>
          <w:rFonts w:ascii="Times New Roman" w:eastAsia="Calibri" w:hAnsi="Times New Roman" w:cs="Times New Roman"/>
          <w:sz w:val="24"/>
          <w:szCs w:val="24"/>
        </w:rPr>
        <w:t xml:space="preserve">натриевой </w:t>
      </w:r>
      <w:r>
        <w:rPr>
          <w:rFonts w:ascii="Times New Roman" w:eastAsia="Calibri" w:hAnsi="Times New Roman" w:cs="Times New Roman"/>
          <w:sz w:val="24"/>
          <w:szCs w:val="24"/>
        </w:rPr>
        <w:t>форм</w:t>
      </w:r>
      <w:r w:rsidR="003C009F">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катионитов Токем-250 и КБ-2Э-16</w:t>
      </w:r>
      <w:r w:rsidR="003C009F">
        <w:rPr>
          <w:rFonts w:ascii="Times New Roman" w:eastAsia="Calibri" w:hAnsi="Times New Roman" w:cs="Times New Roman"/>
          <w:sz w:val="24"/>
          <w:szCs w:val="24"/>
        </w:rPr>
        <w:t xml:space="preserve"> представлены на рис. 2. </w:t>
      </w:r>
    </w:p>
    <w:p w:rsidR="005C4A80" w:rsidRDefault="005C4A80" w:rsidP="00A853D8">
      <w:pPr>
        <w:spacing w:after="0" w:line="240" w:lineRule="auto"/>
        <w:ind w:firstLine="284"/>
        <w:jc w:val="center"/>
        <w:rPr>
          <w:rFonts w:ascii="Times New Roman" w:hAnsi="Times New Roman" w:cs="Times New Roman"/>
          <w:sz w:val="24"/>
          <w:szCs w:val="24"/>
        </w:rPr>
      </w:pPr>
      <w:r>
        <w:rPr>
          <w:noProof/>
          <w:lang w:eastAsia="ru-RU"/>
        </w:rPr>
        <w:drawing>
          <wp:inline distT="0" distB="0" distL="0" distR="0" wp14:anchorId="1456BAAD" wp14:editId="5E4441B8">
            <wp:extent cx="2757830" cy="1821485"/>
            <wp:effectExtent l="0" t="0" r="444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36C9" w:rsidRDefault="009D4326" w:rsidP="00416A9F">
      <w:pPr>
        <w:spacing w:after="0"/>
        <w:jc w:val="center"/>
        <w:rPr>
          <w:rFonts w:ascii="Times New Roman" w:eastAsia="Calibri" w:hAnsi="Times New Roman" w:cs="Times New Roman"/>
          <w:sz w:val="24"/>
          <w:szCs w:val="24"/>
        </w:rPr>
      </w:pPr>
      <w:r>
        <w:rPr>
          <w:rFonts w:ascii="Times New Roman" w:hAnsi="Times New Roman" w:cs="Times New Roman"/>
          <w:sz w:val="24"/>
          <w:szCs w:val="24"/>
        </w:rPr>
        <w:t xml:space="preserve">Рисунок 2 </w:t>
      </w:r>
      <w:r w:rsidR="00EB768F">
        <w:rPr>
          <w:rFonts w:ascii="Times New Roman" w:hAnsi="Times New Roman" w:cs="Times New Roman"/>
          <w:sz w:val="24"/>
          <w:szCs w:val="24"/>
        </w:rPr>
        <w:t>–</w:t>
      </w:r>
      <w:r w:rsidR="00A853D8" w:rsidRPr="00A853D8">
        <w:rPr>
          <w:rFonts w:ascii="Times New Roman" w:hAnsi="Times New Roman" w:cs="Times New Roman"/>
          <w:sz w:val="24"/>
          <w:szCs w:val="24"/>
        </w:rPr>
        <w:t xml:space="preserve"> </w:t>
      </w:r>
      <w:r w:rsidR="00A853D8" w:rsidRPr="00A853D8">
        <w:rPr>
          <w:rFonts w:ascii="Times New Roman" w:hAnsi="Times New Roman" w:cs="Times New Roman"/>
          <w:bCs/>
          <w:sz w:val="24"/>
          <w:szCs w:val="24"/>
        </w:rPr>
        <w:t>Выходные кривые сорбции марганца(</w:t>
      </w:r>
      <w:r w:rsidR="00A853D8" w:rsidRPr="00A853D8">
        <w:rPr>
          <w:rFonts w:ascii="Times New Roman" w:hAnsi="Times New Roman" w:cs="Times New Roman"/>
          <w:bCs/>
          <w:sz w:val="24"/>
          <w:szCs w:val="24"/>
          <w:lang w:val="en-US"/>
        </w:rPr>
        <w:t>II</w:t>
      </w:r>
      <w:r w:rsidR="00A853D8" w:rsidRPr="00A853D8">
        <w:rPr>
          <w:rFonts w:ascii="Times New Roman" w:hAnsi="Times New Roman" w:cs="Times New Roman"/>
          <w:bCs/>
          <w:sz w:val="24"/>
          <w:szCs w:val="24"/>
        </w:rPr>
        <w:t>) на катионитах КБ-2Э-16 и Токем-250</w:t>
      </w:r>
      <w:r w:rsidR="00A853D8">
        <w:rPr>
          <w:rFonts w:ascii="Times New Roman" w:hAnsi="Times New Roman" w:cs="Times New Roman"/>
          <w:bCs/>
          <w:sz w:val="24"/>
          <w:szCs w:val="24"/>
        </w:rPr>
        <w:t xml:space="preserve"> (</w:t>
      </w:r>
      <w:proofErr w:type="gramStart"/>
      <w:r w:rsidR="00A853D8">
        <w:rPr>
          <w:rFonts w:ascii="Times New Roman" w:hAnsi="Times New Roman" w:cs="Times New Roman"/>
          <w:bCs/>
          <w:sz w:val="24"/>
          <w:szCs w:val="24"/>
          <w:lang w:val="en-US"/>
        </w:rPr>
        <w:t>h</w:t>
      </w:r>
      <w:proofErr w:type="gramEnd"/>
      <w:r w:rsidR="00A853D8" w:rsidRPr="00A853D8">
        <w:rPr>
          <w:rFonts w:ascii="Times New Roman" w:hAnsi="Times New Roman" w:cs="Times New Roman"/>
          <w:bCs/>
          <w:sz w:val="24"/>
          <w:szCs w:val="24"/>
          <w:vertAlign w:val="subscript"/>
        </w:rPr>
        <w:t>слоя</w:t>
      </w:r>
      <w:r w:rsidR="00A853D8" w:rsidRPr="00A853D8">
        <w:rPr>
          <w:rFonts w:ascii="Times New Roman" w:hAnsi="Times New Roman" w:cs="Times New Roman"/>
          <w:bCs/>
          <w:sz w:val="24"/>
          <w:szCs w:val="24"/>
        </w:rPr>
        <w:t xml:space="preserve"> =</w:t>
      </w:r>
      <w:r w:rsidR="00A853D8" w:rsidRPr="00D85E4A">
        <w:rPr>
          <w:rFonts w:ascii="Times New Roman" w:hAnsi="Times New Roman" w:cs="Times New Roman"/>
          <w:bCs/>
          <w:sz w:val="24"/>
          <w:szCs w:val="24"/>
        </w:rPr>
        <w:t>3,6 – 3,8 см)</w:t>
      </w:r>
    </w:p>
    <w:p w:rsidR="005C00CD" w:rsidRDefault="005C00CD" w:rsidP="00DA62EE">
      <w:pPr>
        <w:spacing w:after="0" w:line="240" w:lineRule="auto"/>
        <w:ind w:firstLine="425"/>
        <w:jc w:val="both"/>
        <w:rPr>
          <w:rFonts w:ascii="Times New Roman" w:eastAsia="Calibri" w:hAnsi="Times New Roman" w:cs="Times New Roman"/>
          <w:sz w:val="24"/>
          <w:szCs w:val="24"/>
        </w:rPr>
      </w:pPr>
    </w:p>
    <w:p w:rsidR="00A853D8" w:rsidRDefault="007636C9" w:rsidP="00DA62EE">
      <w:pPr>
        <w:spacing w:after="0" w:line="240" w:lineRule="auto"/>
        <w:ind w:firstLine="425"/>
        <w:jc w:val="both"/>
        <w:rPr>
          <w:rFonts w:ascii="Times New Roman" w:hAnsi="Times New Roman" w:cs="Times New Roman"/>
          <w:bCs/>
          <w:sz w:val="24"/>
          <w:szCs w:val="24"/>
        </w:rPr>
      </w:pPr>
      <w:r>
        <w:rPr>
          <w:rFonts w:ascii="Times New Roman" w:eastAsia="Calibri" w:hAnsi="Times New Roman" w:cs="Times New Roman"/>
          <w:sz w:val="24"/>
          <w:szCs w:val="24"/>
        </w:rPr>
        <w:t xml:space="preserve">Ход кривой ионита Токем-250 по сравнению с КБ-2Э-16 соответствует более размытому переднему и, особенно, заднему фронту сорбции, что связано с различиями в </w:t>
      </w:r>
      <w:r>
        <w:rPr>
          <w:rFonts w:ascii="Times New Roman" w:eastAsia="Calibri" w:hAnsi="Times New Roman" w:cs="Times New Roman"/>
          <w:sz w:val="24"/>
          <w:szCs w:val="24"/>
        </w:rPr>
        <w:lastRenderedPageBreak/>
        <w:t xml:space="preserve">структуре полимерных матриц ионитов. Макросетчатый катионит КБ-2Э-16 имеет более крупные поры, чем катионит гелевого типа Токем-250, за счет </w:t>
      </w:r>
      <w:proofErr w:type="spellStart"/>
      <w:r>
        <w:rPr>
          <w:rFonts w:ascii="Times New Roman" w:eastAsia="Calibri" w:hAnsi="Times New Roman" w:cs="Times New Roman"/>
          <w:sz w:val="24"/>
          <w:szCs w:val="24"/>
        </w:rPr>
        <w:t>длинноцепного</w:t>
      </w:r>
      <w:proofErr w:type="spellEnd"/>
      <w:r>
        <w:rPr>
          <w:rFonts w:ascii="Times New Roman" w:eastAsia="Calibri" w:hAnsi="Times New Roman" w:cs="Times New Roman"/>
          <w:sz w:val="24"/>
          <w:szCs w:val="24"/>
        </w:rPr>
        <w:t xml:space="preserve"> сшивающего агента. Вероятно, это обеспечивает повышение скорости диффуз</w:t>
      </w:r>
      <w:proofErr w:type="gramStart"/>
      <w:r>
        <w:rPr>
          <w:rFonts w:ascii="Times New Roman" w:eastAsia="Calibri" w:hAnsi="Times New Roman" w:cs="Times New Roman"/>
          <w:sz w:val="24"/>
          <w:szCs w:val="24"/>
        </w:rPr>
        <w:t>ии ио</w:t>
      </w:r>
      <w:proofErr w:type="gramEnd"/>
      <w:r>
        <w:rPr>
          <w:rFonts w:ascii="Times New Roman" w:eastAsia="Calibri" w:hAnsi="Times New Roman" w:cs="Times New Roman"/>
          <w:sz w:val="24"/>
          <w:szCs w:val="24"/>
        </w:rPr>
        <w:t xml:space="preserve">нов, что приводит к уменьшению ширины </w:t>
      </w:r>
      <w:proofErr w:type="spellStart"/>
      <w:r>
        <w:rPr>
          <w:rFonts w:ascii="Times New Roman" w:eastAsia="Calibri" w:hAnsi="Times New Roman" w:cs="Times New Roman"/>
          <w:sz w:val="24"/>
          <w:szCs w:val="24"/>
        </w:rPr>
        <w:t>хроматографического</w:t>
      </w:r>
      <w:proofErr w:type="spellEnd"/>
      <w:r>
        <w:rPr>
          <w:rFonts w:ascii="Times New Roman" w:eastAsia="Calibri" w:hAnsi="Times New Roman" w:cs="Times New Roman"/>
          <w:sz w:val="24"/>
          <w:szCs w:val="24"/>
        </w:rPr>
        <w:t xml:space="preserve"> фронта </w:t>
      </w:r>
      <w:proofErr w:type="spellStart"/>
      <w:r>
        <w:rPr>
          <w:rFonts w:ascii="Times New Roman" w:eastAsia="Calibri" w:hAnsi="Times New Roman" w:cs="Times New Roman"/>
          <w:sz w:val="24"/>
          <w:szCs w:val="24"/>
          <w:lang w:val="en-US"/>
        </w:rPr>
        <w:t>Mn</w:t>
      </w:r>
      <w:proofErr w:type="spellEnd"/>
      <w:r w:rsidRPr="003720A1">
        <w:rPr>
          <w:rFonts w:ascii="Times New Roman" w:eastAsia="Calibri" w:hAnsi="Times New Roman" w:cs="Times New Roman"/>
          <w:sz w:val="24"/>
          <w:szCs w:val="24"/>
          <w:vertAlign w:val="superscript"/>
        </w:rPr>
        <w:t>2+</w:t>
      </w:r>
      <w:r w:rsidRPr="00725B4B">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возрастанию степени использования слоя (табл. 2).</w:t>
      </w:r>
    </w:p>
    <w:p w:rsidR="00721E1C" w:rsidRDefault="00721E1C" w:rsidP="00CE0A1B">
      <w:pPr>
        <w:spacing w:after="0" w:line="240" w:lineRule="auto"/>
        <w:jc w:val="center"/>
        <w:rPr>
          <w:rFonts w:ascii="Times New Roman" w:hAnsi="Times New Roman" w:cs="Times New Roman"/>
          <w:bCs/>
          <w:sz w:val="24"/>
          <w:szCs w:val="24"/>
        </w:rPr>
      </w:pPr>
    </w:p>
    <w:p w:rsidR="005555D7" w:rsidRPr="00CE0A1B" w:rsidRDefault="00CE0A1B" w:rsidP="00CE0A1B">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Таблица 2</w:t>
      </w:r>
      <w:r w:rsidR="005555D7" w:rsidRPr="00CE0A1B">
        <w:rPr>
          <w:rFonts w:ascii="Times New Roman" w:hAnsi="Times New Roman" w:cs="Times New Roman"/>
          <w:bCs/>
          <w:sz w:val="24"/>
          <w:szCs w:val="24"/>
        </w:rPr>
        <w:t xml:space="preserve"> − Динамические </w:t>
      </w:r>
      <w:r w:rsidR="005555D7" w:rsidRPr="009D4326">
        <w:rPr>
          <w:rFonts w:ascii="Times New Roman" w:hAnsi="Times New Roman" w:cs="Times New Roman"/>
          <w:bCs/>
          <w:sz w:val="24"/>
          <w:szCs w:val="24"/>
        </w:rPr>
        <w:t xml:space="preserve">характеристики </w:t>
      </w:r>
      <w:r w:rsidR="00604796" w:rsidRPr="009D4326">
        <w:rPr>
          <w:rFonts w:ascii="Times New Roman" w:hAnsi="Times New Roman" w:cs="Times New Roman"/>
          <w:bCs/>
          <w:sz w:val="24"/>
          <w:szCs w:val="24"/>
        </w:rPr>
        <w:t>процесса</w:t>
      </w:r>
      <w:r w:rsidR="00604796">
        <w:rPr>
          <w:rFonts w:ascii="Times New Roman" w:hAnsi="Times New Roman" w:cs="Times New Roman"/>
          <w:bCs/>
          <w:sz w:val="24"/>
          <w:szCs w:val="24"/>
        </w:rPr>
        <w:t xml:space="preserve"> </w:t>
      </w:r>
      <w:r w:rsidR="005555D7" w:rsidRPr="00CE0A1B">
        <w:rPr>
          <w:rFonts w:ascii="Times New Roman" w:hAnsi="Times New Roman" w:cs="Times New Roman"/>
          <w:bCs/>
          <w:sz w:val="24"/>
          <w:szCs w:val="24"/>
        </w:rPr>
        <w:t>сорбц</w:t>
      </w:r>
      <w:proofErr w:type="gramStart"/>
      <w:r w:rsidR="005555D7" w:rsidRPr="00CE0A1B">
        <w:rPr>
          <w:rFonts w:ascii="Times New Roman" w:hAnsi="Times New Roman" w:cs="Times New Roman"/>
          <w:bCs/>
          <w:sz w:val="24"/>
          <w:szCs w:val="24"/>
        </w:rPr>
        <w:t>ии ио</w:t>
      </w:r>
      <w:proofErr w:type="gramEnd"/>
      <w:r w:rsidR="005555D7" w:rsidRPr="00CE0A1B">
        <w:rPr>
          <w:rFonts w:ascii="Times New Roman" w:hAnsi="Times New Roman" w:cs="Times New Roman"/>
          <w:bCs/>
          <w:sz w:val="24"/>
          <w:szCs w:val="24"/>
        </w:rPr>
        <w:t xml:space="preserve">нов </w:t>
      </w:r>
      <w:proofErr w:type="spellStart"/>
      <w:r w:rsidR="005555D7" w:rsidRPr="00CE0A1B">
        <w:rPr>
          <w:rFonts w:ascii="Times New Roman" w:hAnsi="Times New Roman" w:cs="Times New Roman"/>
          <w:bCs/>
          <w:sz w:val="24"/>
          <w:szCs w:val="24"/>
          <w:lang w:val="en-US"/>
        </w:rPr>
        <w:t>Mn</w:t>
      </w:r>
      <w:proofErr w:type="spellEnd"/>
      <w:r w:rsidR="005555D7" w:rsidRPr="00CE0A1B">
        <w:rPr>
          <w:rFonts w:ascii="Times New Roman" w:hAnsi="Times New Roman" w:cs="Times New Roman"/>
          <w:bCs/>
          <w:sz w:val="24"/>
          <w:szCs w:val="24"/>
          <w:vertAlign w:val="superscript"/>
        </w:rPr>
        <w:t>2+</w:t>
      </w:r>
      <w:r w:rsidR="005555D7" w:rsidRPr="00CE0A1B">
        <w:rPr>
          <w:rFonts w:ascii="Times New Roman" w:hAnsi="Times New Roman" w:cs="Times New Roman"/>
          <w:bCs/>
          <w:sz w:val="24"/>
          <w:szCs w:val="24"/>
        </w:rPr>
        <w:t xml:space="preserve"> катионитами</w:t>
      </w:r>
      <w:r>
        <w:rPr>
          <w:rFonts w:ascii="Times New Roman" w:hAnsi="Times New Roman" w:cs="Times New Roman"/>
          <w:bCs/>
          <w:sz w:val="24"/>
          <w:szCs w:val="24"/>
        </w:rPr>
        <w:t xml:space="preserve"> КБ-2Э-16 и </w:t>
      </w:r>
      <w:r w:rsidR="005555D7" w:rsidRPr="00CE0A1B">
        <w:rPr>
          <w:rFonts w:ascii="Times New Roman" w:hAnsi="Times New Roman" w:cs="Times New Roman"/>
          <w:bCs/>
          <w:sz w:val="24"/>
          <w:szCs w:val="24"/>
        </w:rPr>
        <w:t>Токем</w:t>
      </w:r>
      <w:r>
        <w:rPr>
          <w:rFonts w:ascii="Times New Roman" w:hAnsi="Times New Roman" w:cs="Times New Roman"/>
          <w:bCs/>
          <w:sz w:val="24"/>
          <w:szCs w:val="24"/>
        </w:rPr>
        <w:t>-</w:t>
      </w:r>
      <w:r w:rsidR="005555D7" w:rsidRPr="00CE0A1B">
        <w:rPr>
          <w:rFonts w:ascii="Times New Roman" w:hAnsi="Times New Roman" w:cs="Times New Roman"/>
          <w:bCs/>
          <w:sz w:val="24"/>
          <w:szCs w:val="24"/>
        </w:rPr>
        <w:t xml:space="preserve">250 </w:t>
      </w:r>
    </w:p>
    <w:tbl>
      <w:tblPr>
        <w:tblStyle w:val="a9"/>
        <w:tblW w:w="0" w:type="auto"/>
        <w:jc w:val="center"/>
        <w:tblLook w:val="04A0" w:firstRow="1" w:lastRow="0" w:firstColumn="1" w:lastColumn="0" w:noHBand="0" w:noVBand="1"/>
      </w:tblPr>
      <w:tblGrid>
        <w:gridCol w:w="1336"/>
        <w:gridCol w:w="1607"/>
        <w:gridCol w:w="1134"/>
        <w:gridCol w:w="1267"/>
        <w:gridCol w:w="1336"/>
        <w:gridCol w:w="1337"/>
        <w:gridCol w:w="1337"/>
      </w:tblGrid>
      <w:tr w:rsidR="00722FF5" w:rsidTr="00067AB0">
        <w:trPr>
          <w:trHeight w:val="107"/>
          <w:jc w:val="center"/>
        </w:trPr>
        <w:tc>
          <w:tcPr>
            <w:tcW w:w="1336" w:type="dxa"/>
            <w:vMerge w:val="restart"/>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Катионит</w:t>
            </w:r>
          </w:p>
        </w:tc>
        <w:tc>
          <w:tcPr>
            <w:tcW w:w="1607" w:type="dxa"/>
            <w:vMerge w:val="restart"/>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bCs/>
                <w:sz w:val="24"/>
                <w:szCs w:val="24"/>
                <w:vertAlign w:val="subscript"/>
              </w:rPr>
              <w:t>∆</w:t>
            </w:r>
            <w:r w:rsidRPr="00722FF5">
              <w:rPr>
                <w:rFonts w:ascii="Times New Roman" w:hAnsi="Times New Roman" w:cs="Times New Roman"/>
                <w:bCs/>
                <w:sz w:val="24"/>
                <w:szCs w:val="24"/>
                <w:lang w:val="en-US"/>
              </w:rPr>
              <w:t>V</w:t>
            </w:r>
            <w:r w:rsidRPr="00722FF5">
              <w:rPr>
                <w:rFonts w:ascii="Times New Roman" w:hAnsi="Times New Roman" w:cs="Times New Roman"/>
                <w:bCs/>
                <w:sz w:val="24"/>
                <w:szCs w:val="24"/>
                <w:vertAlign w:val="subscript"/>
                <w:lang w:val="en-US"/>
              </w:rPr>
              <w:t>0</w:t>
            </w:r>
            <w:r w:rsidRPr="00722FF5">
              <w:rPr>
                <w:rFonts w:ascii="Times New Roman" w:hAnsi="Times New Roman" w:cs="Times New Roman"/>
                <w:bCs/>
                <w:sz w:val="24"/>
                <w:szCs w:val="24"/>
                <w:vertAlign w:val="subscript"/>
              </w:rPr>
              <w:t>,15-0,85</w:t>
            </w:r>
            <w:r w:rsidRPr="00722FF5">
              <w:rPr>
                <w:rFonts w:ascii="Times New Roman" w:hAnsi="Times New Roman" w:cs="Times New Roman"/>
                <w:bCs/>
                <w:sz w:val="24"/>
                <w:szCs w:val="24"/>
              </w:rPr>
              <w:t>,</w:t>
            </w:r>
            <w:r w:rsidR="005C00CD">
              <w:rPr>
                <w:rFonts w:ascii="Times New Roman" w:hAnsi="Times New Roman" w:cs="Times New Roman"/>
                <w:bCs/>
                <w:sz w:val="24"/>
                <w:szCs w:val="24"/>
              </w:rPr>
              <w:t xml:space="preserve"> </w:t>
            </w:r>
            <w:r w:rsidRPr="00722FF5">
              <w:rPr>
                <w:rFonts w:ascii="Times New Roman" w:hAnsi="Times New Roman" w:cs="Times New Roman"/>
                <w:bCs/>
                <w:sz w:val="24"/>
                <w:szCs w:val="24"/>
              </w:rPr>
              <w:t>мл</w:t>
            </w:r>
          </w:p>
        </w:tc>
        <w:tc>
          <w:tcPr>
            <w:tcW w:w="1134" w:type="dxa"/>
            <w:vMerge w:val="restart"/>
            <w:vAlign w:val="center"/>
          </w:tcPr>
          <w:p w:rsidR="00722FF5" w:rsidRPr="00CE0A1B" w:rsidRDefault="00CE0A1B" w:rsidP="00CE0A1B">
            <w:pPr>
              <w:pStyle w:val="a8"/>
              <w:spacing w:before="0" w:beforeAutospacing="0" w:after="0" w:afterAutospacing="0"/>
            </w:pPr>
            <w:r>
              <w:rPr>
                <w:rFonts w:eastAsia="Calibri"/>
                <w:bCs/>
                <w:color w:val="000000" w:themeColor="text1"/>
                <w:kern w:val="24"/>
                <w:lang w:val="en-US"/>
              </w:rPr>
              <w:t>V</w:t>
            </w:r>
            <w:r w:rsidRPr="00CE0A1B">
              <w:rPr>
                <w:rFonts w:eastAsia="Calibri"/>
                <w:bCs/>
                <w:color w:val="000000" w:themeColor="text1"/>
                <w:kern w:val="24"/>
                <w:vertAlign w:val="subscript"/>
              </w:rPr>
              <w:t>пр.</w:t>
            </w:r>
            <w:r>
              <w:rPr>
                <w:rFonts w:eastAsia="Calibri"/>
                <w:bCs/>
                <w:color w:val="000000" w:themeColor="text1"/>
                <w:kern w:val="24"/>
              </w:rPr>
              <w:t>, мл</w:t>
            </w:r>
          </w:p>
        </w:tc>
        <w:tc>
          <w:tcPr>
            <w:tcW w:w="1267" w:type="dxa"/>
            <w:vMerge w:val="restart"/>
            <w:vAlign w:val="center"/>
          </w:tcPr>
          <w:p w:rsidR="00722FF5" w:rsidRPr="00CE0A1B" w:rsidRDefault="00CE0A1B" w:rsidP="00CE0A1B">
            <w:pPr>
              <w:pStyle w:val="a8"/>
              <w:spacing w:before="0" w:beforeAutospacing="0" w:after="0" w:afterAutospacing="0"/>
            </w:pPr>
            <w:r>
              <w:rPr>
                <w:rFonts w:eastAsia="Calibri"/>
                <w:bCs/>
                <w:color w:val="000000" w:themeColor="text1"/>
                <w:kern w:val="24"/>
                <w:lang w:val="en-US"/>
              </w:rPr>
              <w:t>V</w:t>
            </w:r>
            <w:r w:rsidRPr="00CE0A1B">
              <w:rPr>
                <w:rFonts w:eastAsia="Calibri"/>
                <w:bCs/>
                <w:color w:val="000000" w:themeColor="text1"/>
                <w:kern w:val="24"/>
                <w:vertAlign w:val="subscript"/>
              </w:rPr>
              <w:t>нас.</w:t>
            </w:r>
            <w:r>
              <w:rPr>
                <w:rFonts w:eastAsia="Calibri"/>
                <w:bCs/>
                <w:color w:val="000000" w:themeColor="text1"/>
                <w:kern w:val="24"/>
              </w:rPr>
              <w:t>, мл</w:t>
            </w:r>
          </w:p>
        </w:tc>
        <w:tc>
          <w:tcPr>
            <w:tcW w:w="1336"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ДОЕ</w:t>
            </w:r>
          </w:p>
        </w:tc>
        <w:tc>
          <w:tcPr>
            <w:tcW w:w="133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ПДОЕ</w:t>
            </w:r>
          </w:p>
        </w:tc>
        <w:tc>
          <w:tcPr>
            <w:tcW w:w="1337" w:type="dxa"/>
            <w:vMerge w:val="restart"/>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bCs/>
                <w:sz w:val="24"/>
                <w:szCs w:val="24"/>
              </w:rPr>
              <w:t>η</w:t>
            </w:r>
          </w:p>
        </w:tc>
      </w:tr>
      <w:tr w:rsidR="00722FF5" w:rsidTr="00067AB0">
        <w:trPr>
          <w:trHeight w:val="107"/>
          <w:jc w:val="center"/>
        </w:trPr>
        <w:tc>
          <w:tcPr>
            <w:tcW w:w="1336" w:type="dxa"/>
            <w:vMerge/>
            <w:vAlign w:val="center"/>
          </w:tcPr>
          <w:p w:rsidR="00722FF5" w:rsidRPr="00722FF5" w:rsidRDefault="00722FF5" w:rsidP="00CE0A1B">
            <w:pPr>
              <w:jc w:val="center"/>
              <w:rPr>
                <w:rFonts w:ascii="Times New Roman" w:hAnsi="Times New Roman" w:cs="Times New Roman"/>
                <w:sz w:val="24"/>
                <w:szCs w:val="24"/>
              </w:rPr>
            </w:pPr>
          </w:p>
        </w:tc>
        <w:tc>
          <w:tcPr>
            <w:tcW w:w="1607" w:type="dxa"/>
            <w:vMerge/>
            <w:vAlign w:val="center"/>
          </w:tcPr>
          <w:p w:rsidR="00722FF5" w:rsidRPr="00722FF5" w:rsidRDefault="00722FF5" w:rsidP="00CE0A1B">
            <w:pPr>
              <w:jc w:val="center"/>
              <w:rPr>
                <w:rFonts w:ascii="Times New Roman" w:hAnsi="Times New Roman" w:cs="Times New Roman"/>
                <w:sz w:val="24"/>
                <w:szCs w:val="24"/>
              </w:rPr>
            </w:pPr>
          </w:p>
        </w:tc>
        <w:tc>
          <w:tcPr>
            <w:tcW w:w="1134" w:type="dxa"/>
            <w:vMerge/>
            <w:vAlign w:val="center"/>
          </w:tcPr>
          <w:p w:rsidR="00722FF5" w:rsidRPr="00722FF5" w:rsidRDefault="00722FF5" w:rsidP="00CE0A1B">
            <w:pPr>
              <w:jc w:val="center"/>
              <w:rPr>
                <w:rFonts w:ascii="Times New Roman" w:hAnsi="Times New Roman" w:cs="Times New Roman"/>
                <w:sz w:val="24"/>
                <w:szCs w:val="24"/>
              </w:rPr>
            </w:pPr>
          </w:p>
        </w:tc>
        <w:tc>
          <w:tcPr>
            <w:tcW w:w="1267" w:type="dxa"/>
            <w:vMerge/>
            <w:vAlign w:val="center"/>
          </w:tcPr>
          <w:p w:rsidR="00722FF5" w:rsidRPr="00722FF5" w:rsidRDefault="00722FF5" w:rsidP="00CE0A1B">
            <w:pPr>
              <w:jc w:val="center"/>
              <w:rPr>
                <w:rFonts w:ascii="Times New Roman" w:hAnsi="Times New Roman" w:cs="Times New Roman"/>
                <w:sz w:val="24"/>
                <w:szCs w:val="24"/>
              </w:rPr>
            </w:pPr>
          </w:p>
        </w:tc>
        <w:tc>
          <w:tcPr>
            <w:tcW w:w="2673" w:type="dxa"/>
            <w:gridSpan w:val="2"/>
            <w:vAlign w:val="center"/>
          </w:tcPr>
          <w:p w:rsidR="00722FF5" w:rsidRPr="00722FF5" w:rsidRDefault="00642DE6" w:rsidP="00642DE6">
            <w:pPr>
              <w:jc w:val="center"/>
              <w:rPr>
                <w:rFonts w:ascii="Times New Roman" w:hAnsi="Times New Roman" w:cs="Times New Roman"/>
                <w:sz w:val="24"/>
                <w:szCs w:val="24"/>
              </w:rPr>
            </w:pPr>
            <w:proofErr w:type="spellStart"/>
            <w:r>
              <w:rPr>
                <w:rFonts w:ascii="Times New Roman" w:hAnsi="Times New Roman" w:cs="Times New Roman"/>
                <w:bCs/>
                <w:sz w:val="24"/>
                <w:szCs w:val="24"/>
              </w:rPr>
              <w:t>м</w:t>
            </w:r>
            <w:r w:rsidR="00722FF5" w:rsidRPr="00722FF5">
              <w:rPr>
                <w:rFonts w:ascii="Times New Roman" w:hAnsi="Times New Roman" w:cs="Times New Roman"/>
                <w:bCs/>
                <w:sz w:val="24"/>
                <w:szCs w:val="24"/>
              </w:rPr>
              <w:t>моль</w:t>
            </w:r>
            <w:r>
              <w:rPr>
                <w:rFonts w:ascii="Times New Roman" w:hAnsi="Times New Roman" w:cs="Times New Roman"/>
                <w:bCs/>
                <w:sz w:val="24"/>
                <w:szCs w:val="24"/>
              </w:rPr>
              <w:t>-</w:t>
            </w:r>
            <w:r w:rsidR="00722FF5" w:rsidRPr="00722FF5">
              <w:rPr>
                <w:rFonts w:ascii="Times New Roman" w:hAnsi="Times New Roman" w:cs="Times New Roman"/>
                <w:bCs/>
                <w:sz w:val="24"/>
                <w:szCs w:val="24"/>
              </w:rPr>
              <w:t>экв</w:t>
            </w:r>
            <w:proofErr w:type="spellEnd"/>
            <w:r w:rsidR="00722FF5" w:rsidRPr="00722FF5">
              <w:rPr>
                <w:rFonts w:ascii="Times New Roman" w:hAnsi="Times New Roman" w:cs="Times New Roman"/>
                <w:bCs/>
                <w:sz w:val="24"/>
                <w:szCs w:val="24"/>
              </w:rPr>
              <w:t>/г</w:t>
            </w:r>
          </w:p>
        </w:tc>
        <w:tc>
          <w:tcPr>
            <w:tcW w:w="1337" w:type="dxa"/>
            <w:vMerge/>
            <w:vAlign w:val="center"/>
          </w:tcPr>
          <w:p w:rsidR="00722FF5" w:rsidRPr="00722FF5" w:rsidRDefault="00722FF5" w:rsidP="00CE0A1B">
            <w:pPr>
              <w:jc w:val="center"/>
              <w:rPr>
                <w:rFonts w:ascii="Times New Roman" w:hAnsi="Times New Roman" w:cs="Times New Roman"/>
                <w:sz w:val="24"/>
                <w:szCs w:val="24"/>
              </w:rPr>
            </w:pPr>
          </w:p>
        </w:tc>
      </w:tr>
      <w:tr w:rsidR="00722FF5" w:rsidTr="00067AB0">
        <w:trPr>
          <w:trHeight w:val="256"/>
          <w:jc w:val="center"/>
        </w:trPr>
        <w:tc>
          <w:tcPr>
            <w:tcW w:w="1336"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КБ-2Э-16</w:t>
            </w:r>
          </w:p>
        </w:tc>
        <w:tc>
          <w:tcPr>
            <w:tcW w:w="160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17</w:t>
            </w:r>
          </w:p>
        </w:tc>
        <w:tc>
          <w:tcPr>
            <w:tcW w:w="1134"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20</w:t>
            </w:r>
          </w:p>
        </w:tc>
        <w:tc>
          <w:tcPr>
            <w:tcW w:w="126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80</w:t>
            </w:r>
          </w:p>
        </w:tc>
        <w:tc>
          <w:tcPr>
            <w:tcW w:w="1336"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4</w:t>
            </w:r>
          </w:p>
        </w:tc>
        <w:tc>
          <w:tcPr>
            <w:tcW w:w="133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5,6</w:t>
            </w:r>
          </w:p>
        </w:tc>
        <w:tc>
          <w:tcPr>
            <w:tcW w:w="133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0,71</w:t>
            </w:r>
          </w:p>
        </w:tc>
      </w:tr>
      <w:tr w:rsidR="00722FF5" w:rsidTr="00067AB0">
        <w:trPr>
          <w:trHeight w:val="256"/>
          <w:jc w:val="center"/>
        </w:trPr>
        <w:tc>
          <w:tcPr>
            <w:tcW w:w="1336"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bCs/>
                <w:sz w:val="24"/>
                <w:szCs w:val="24"/>
              </w:rPr>
              <w:t>Токем-250</w:t>
            </w:r>
          </w:p>
        </w:tc>
        <w:tc>
          <w:tcPr>
            <w:tcW w:w="160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32</w:t>
            </w:r>
          </w:p>
        </w:tc>
        <w:tc>
          <w:tcPr>
            <w:tcW w:w="1134"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20</w:t>
            </w:r>
          </w:p>
        </w:tc>
        <w:tc>
          <w:tcPr>
            <w:tcW w:w="126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90</w:t>
            </w:r>
          </w:p>
        </w:tc>
        <w:tc>
          <w:tcPr>
            <w:tcW w:w="1336"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3,6</w:t>
            </w:r>
          </w:p>
        </w:tc>
        <w:tc>
          <w:tcPr>
            <w:tcW w:w="133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6,7</w:t>
            </w:r>
          </w:p>
        </w:tc>
        <w:tc>
          <w:tcPr>
            <w:tcW w:w="1337" w:type="dxa"/>
            <w:vAlign w:val="center"/>
          </w:tcPr>
          <w:p w:rsidR="00722FF5" w:rsidRPr="00722FF5" w:rsidRDefault="00722FF5" w:rsidP="00CE0A1B">
            <w:pPr>
              <w:jc w:val="center"/>
              <w:rPr>
                <w:rFonts w:ascii="Times New Roman" w:hAnsi="Times New Roman" w:cs="Times New Roman"/>
                <w:sz w:val="24"/>
                <w:szCs w:val="24"/>
              </w:rPr>
            </w:pPr>
            <w:r w:rsidRPr="00722FF5">
              <w:rPr>
                <w:rFonts w:ascii="Times New Roman" w:hAnsi="Times New Roman" w:cs="Times New Roman"/>
                <w:sz w:val="24"/>
                <w:szCs w:val="24"/>
              </w:rPr>
              <w:t>0,53</w:t>
            </w:r>
          </w:p>
        </w:tc>
      </w:tr>
    </w:tbl>
    <w:p w:rsidR="00A853D8" w:rsidRPr="005C00CD" w:rsidRDefault="00A853D8" w:rsidP="00CE0A1B">
      <w:pPr>
        <w:spacing w:after="0" w:line="240" w:lineRule="auto"/>
        <w:rPr>
          <w:rFonts w:ascii="Times New Roman" w:hAnsi="Times New Roman" w:cs="Times New Roman"/>
          <w:sz w:val="24"/>
          <w:szCs w:val="24"/>
        </w:rPr>
      </w:pPr>
    </w:p>
    <w:p w:rsidR="00B00449" w:rsidRPr="00FD5A6A" w:rsidRDefault="00725B4B" w:rsidP="00FD5A6A">
      <w:pPr>
        <w:spacing w:after="0" w:line="240" w:lineRule="auto"/>
        <w:ind w:firstLine="426"/>
        <w:jc w:val="both"/>
        <w:rPr>
          <w:rFonts w:ascii="Times New Roman" w:hAnsi="Times New Roman" w:cs="Times New Roman"/>
          <w:bCs/>
          <w:sz w:val="24"/>
          <w:szCs w:val="24"/>
        </w:rPr>
      </w:pPr>
      <w:r>
        <w:rPr>
          <w:rFonts w:ascii="Times New Roman" w:eastAsia="Calibri" w:hAnsi="Times New Roman" w:cs="Times New Roman"/>
          <w:sz w:val="24"/>
          <w:szCs w:val="24"/>
        </w:rPr>
        <w:t>Высокая избирательность поглощения марганца</w:t>
      </w:r>
      <w:r w:rsidRPr="00725B4B">
        <w:rPr>
          <w:rFonts w:ascii="Times New Roman" w:eastAsia="Calibri" w:hAnsi="Times New Roman" w:cs="Times New Roman"/>
          <w:sz w:val="24"/>
          <w:szCs w:val="24"/>
        </w:rPr>
        <w:t>(</w:t>
      </w:r>
      <w:r>
        <w:rPr>
          <w:rFonts w:ascii="Times New Roman" w:eastAsia="Calibri" w:hAnsi="Times New Roman" w:cs="Times New Roman"/>
          <w:sz w:val="24"/>
          <w:szCs w:val="24"/>
          <w:lang w:val="en-US"/>
        </w:rPr>
        <w:t>II</w:t>
      </w:r>
      <w:r w:rsidRPr="00725B4B">
        <w:rPr>
          <w:rFonts w:ascii="Times New Roman" w:eastAsia="Calibri" w:hAnsi="Times New Roman" w:cs="Times New Roman"/>
          <w:sz w:val="24"/>
          <w:szCs w:val="24"/>
        </w:rPr>
        <w:t>)</w:t>
      </w:r>
      <w:r>
        <w:rPr>
          <w:rFonts w:ascii="Times New Roman" w:eastAsia="Calibri" w:hAnsi="Times New Roman" w:cs="Times New Roman"/>
          <w:sz w:val="24"/>
          <w:szCs w:val="24"/>
        </w:rPr>
        <w:t xml:space="preserve">, формирование четких хроматографических зон </w:t>
      </w:r>
      <w:r w:rsidR="002B701E">
        <w:rPr>
          <w:rFonts w:ascii="Times New Roman" w:eastAsia="Calibri" w:hAnsi="Times New Roman" w:cs="Times New Roman"/>
          <w:sz w:val="24"/>
          <w:szCs w:val="24"/>
        </w:rPr>
        <w:t>позволил</w:t>
      </w:r>
      <w:r w:rsidR="00FD5A6A">
        <w:rPr>
          <w:rFonts w:ascii="Times New Roman" w:eastAsia="Calibri" w:hAnsi="Times New Roman" w:cs="Times New Roman"/>
          <w:sz w:val="24"/>
          <w:szCs w:val="24"/>
        </w:rPr>
        <w:t>и</w:t>
      </w:r>
      <w:r>
        <w:rPr>
          <w:rFonts w:ascii="Times New Roman" w:eastAsia="Calibri" w:hAnsi="Times New Roman" w:cs="Times New Roman"/>
          <w:sz w:val="24"/>
          <w:szCs w:val="24"/>
        </w:rPr>
        <w:t xml:space="preserve"> использовать катионит КБ-2Э-16 в качестве наполнителя </w:t>
      </w:r>
      <w:proofErr w:type="gramStart"/>
      <w:r>
        <w:rPr>
          <w:rFonts w:ascii="Times New Roman" w:eastAsia="Calibri" w:hAnsi="Times New Roman" w:cs="Times New Roman"/>
          <w:sz w:val="24"/>
          <w:szCs w:val="24"/>
        </w:rPr>
        <w:t>тест-индикаторной</w:t>
      </w:r>
      <w:proofErr w:type="gramEnd"/>
      <w:r>
        <w:rPr>
          <w:rFonts w:ascii="Times New Roman" w:eastAsia="Calibri" w:hAnsi="Times New Roman" w:cs="Times New Roman"/>
          <w:sz w:val="24"/>
          <w:szCs w:val="24"/>
        </w:rPr>
        <w:t xml:space="preserve"> трубки. </w:t>
      </w:r>
      <w:r w:rsidR="009F3622">
        <w:rPr>
          <w:rFonts w:ascii="Times New Roman" w:hAnsi="Times New Roman" w:cs="Times New Roman"/>
          <w:bCs/>
          <w:sz w:val="24"/>
          <w:szCs w:val="24"/>
        </w:rPr>
        <w:t>С</w:t>
      </w:r>
      <w:r w:rsidR="00B12C98">
        <w:rPr>
          <w:rFonts w:ascii="Times New Roman" w:hAnsi="Times New Roman" w:cs="Times New Roman"/>
          <w:bCs/>
          <w:sz w:val="24"/>
          <w:szCs w:val="24"/>
        </w:rPr>
        <w:t xml:space="preserve">теклянную колонку диаметром 0,5 см заполняли </w:t>
      </w:r>
      <w:r w:rsidR="00B12C98">
        <w:rPr>
          <w:rFonts w:ascii="Times New Roman" w:hAnsi="Times New Roman" w:cs="Times New Roman"/>
          <w:bCs/>
          <w:sz w:val="24"/>
          <w:szCs w:val="24"/>
          <w:lang w:val="en-US"/>
        </w:rPr>
        <w:t>Na</w:t>
      </w:r>
      <w:r w:rsidR="00B12C98" w:rsidRPr="00B12C98">
        <w:rPr>
          <w:rFonts w:ascii="Times New Roman" w:hAnsi="Times New Roman" w:cs="Times New Roman"/>
          <w:bCs/>
          <w:sz w:val="24"/>
          <w:szCs w:val="24"/>
        </w:rPr>
        <w:t>-</w:t>
      </w:r>
      <w:r w:rsidR="00B12C98">
        <w:rPr>
          <w:rFonts w:ascii="Times New Roman" w:hAnsi="Times New Roman" w:cs="Times New Roman"/>
          <w:bCs/>
          <w:sz w:val="24"/>
          <w:szCs w:val="24"/>
        </w:rPr>
        <w:t xml:space="preserve">формой катионита </w:t>
      </w:r>
      <w:r w:rsidR="002B701E">
        <w:rPr>
          <w:rFonts w:ascii="Times New Roman" w:hAnsi="Times New Roman" w:cs="Times New Roman"/>
          <w:bCs/>
          <w:sz w:val="24"/>
          <w:szCs w:val="24"/>
        </w:rPr>
        <w:t>на длину 4 см. Через слой сорбента</w:t>
      </w:r>
      <w:r w:rsidR="004D3DD7">
        <w:rPr>
          <w:rFonts w:ascii="Times New Roman" w:hAnsi="Times New Roman" w:cs="Times New Roman"/>
          <w:bCs/>
          <w:sz w:val="24"/>
          <w:szCs w:val="24"/>
        </w:rPr>
        <w:t xml:space="preserve"> пропускали определенный объем раствора со скоростью 1 </w:t>
      </w:r>
      <w:proofErr w:type="spellStart"/>
      <w:r w:rsidR="004D3DD7">
        <w:rPr>
          <w:rFonts w:ascii="Times New Roman" w:hAnsi="Times New Roman" w:cs="Times New Roman"/>
          <w:bCs/>
          <w:sz w:val="24"/>
          <w:szCs w:val="24"/>
        </w:rPr>
        <w:t>мл</w:t>
      </w:r>
      <w:r w:rsidR="004D3DD7" w:rsidRPr="009F3622">
        <w:rPr>
          <w:rFonts w:ascii="Times New Roman" w:hAnsi="Times New Roman" w:cs="Times New Roman"/>
          <w:bCs/>
          <w:sz w:val="24"/>
          <w:szCs w:val="24"/>
        </w:rPr>
        <w:t>∕</w:t>
      </w:r>
      <w:r w:rsidR="004D3DD7">
        <w:rPr>
          <w:rFonts w:ascii="Times New Roman" w:hAnsi="Times New Roman" w:cs="Times New Roman"/>
          <w:bCs/>
          <w:sz w:val="24"/>
          <w:szCs w:val="24"/>
        </w:rPr>
        <w:t>мин</w:t>
      </w:r>
      <w:proofErr w:type="spellEnd"/>
      <w:r w:rsidR="004D3DD7">
        <w:rPr>
          <w:rFonts w:ascii="Times New Roman" w:hAnsi="Times New Roman" w:cs="Times New Roman"/>
          <w:bCs/>
          <w:sz w:val="24"/>
          <w:szCs w:val="24"/>
        </w:rPr>
        <w:t>.</w:t>
      </w:r>
      <w:r w:rsidR="0006458E">
        <w:rPr>
          <w:rFonts w:ascii="Times New Roman" w:hAnsi="Times New Roman" w:cs="Times New Roman"/>
          <w:bCs/>
          <w:sz w:val="24"/>
          <w:szCs w:val="24"/>
        </w:rPr>
        <w:t xml:space="preserve"> </w:t>
      </w:r>
      <w:r w:rsidR="004D3DD7">
        <w:rPr>
          <w:rFonts w:ascii="Times New Roman" w:hAnsi="Times New Roman" w:cs="Times New Roman"/>
          <w:bCs/>
          <w:sz w:val="24"/>
          <w:szCs w:val="24"/>
        </w:rPr>
        <w:t>Для получения окрашенной зоны ионов марганца</w:t>
      </w:r>
      <w:r w:rsidR="004D3DD7" w:rsidRPr="004D3DD7">
        <w:rPr>
          <w:rFonts w:ascii="Times New Roman" w:hAnsi="Times New Roman" w:cs="Times New Roman"/>
          <w:bCs/>
          <w:sz w:val="24"/>
          <w:szCs w:val="24"/>
        </w:rPr>
        <w:t>(</w:t>
      </w:r>
      <w:r w:rsidR="004D3DD7">
        <w:rPr>
          <w:rFonts w:ascii="Times New Roman" w:hAnsi="Times New Roman" w:cs="Times New Roman"/>
          <w:bCs/>
          <w:sz w:val="24"/>
          <w:szCs w:val="24"/>
          <w:lang w:val="en-US"/>
        </w:rPr>
        <w:t>II</w:t>
      </w:r>
      <w:r w:rsidR="004D3DD7" w:rsidRPr="004D3DD7">
        <w:rPr>
          <w:rFonts w:ascii="Times New Roman" w:hAnsi="Times New Roman" w:cs="Times New Roman"/>
          <w:bCs/>
          <w:sz w:val="24"/>
          <w:szCs w:val="24"/>
        </w:rPr>
        <w:t>)</w:t>
      </w:r>
      <w:r w:rsidR="008B5A99">
        <w:rPr>
          <w:rFonts w:ascii="Times New Roman" w:hAnsi="Times New Roman" w:cs="Times New Roman"/>
          <w:bCs/>
          <w:sz w:val="24"/>
          <w:szCs w:val="24"/>
        </w:rPr>
        <w:t xml:space="preserve"> </w:t>
      </w:r>
      <w:r w:rsidR="004D3DD7">
        <w:rPr>
          <w:rFonts w:ascii="Times New Roman" w:hAnsi="Times New Roman" w:cs="Times New Roman"/>
          <w:bCs/>
          <w:sz w:val="24"/>
          <w:szCs w:val="24"/>
        </w:rPr>
        <w:t>катионит</w:t>
      </w:r>
      <w:r w:rsidR="009F3622">
        <w:rPr>
          <w:rFonts w:ascii="Times New Roman" w:hAnsi="Times New Roman" w:cs="Times New Roman"/>
          <w:sz w:val="24"/>
          <w:szCs w:val="24"/>
        </w:rPr>
        <w:t xml:space="preserve"> обрабатывали небольшим объемом </w:t>
      </w:r>
      <w:r w:rsidR="008B5A99">
        <w:rPr>
          <w:rFonts w:ascii="Times New Roman" w:hAnsi="Times New Roman" w:cs="Times New Roman"/>
          <w:sz w:val="24"/>
          <w:szCs w:val="24"/>
        </w:rPr>
        <w:t xml:space="preserve">раствора </w:t>
      </w:r>
      <w:r w:rsidR="009F3622">
        <w:rPr>
          <w:rFonts w:ascii="Times New Roman" w:hAnsi="Times New Roman" w:cs="Times New Roman"/>
          <w:sz w:val="24"/>
          <w:szCs w:val="24"/>
        </w:rPr>
        <w:t xml:space="preserve">реагента </w:t>
      </w:r>
      <w:proofErr w:type="spellStart"/>
      <w:r w:rsidR="009F3622" w:rsidRPr="00202506">
        <w:rPr>
          <w:rFonts w:ascii="Times New Roman" w:hAnsi="Times New Roman" w:cs="Times New Roman"/>
          <w:sz w:val="24"/>
          <w:szCs w:val="24"/>
        </w:rPr>
        <w:t>формальдоксима</w:t>
      </w:r>
      <w:proofErr w:type="spellEnd"/>
      <w:r w:rsidR="009F3622" w:rsidRPr="00202506">
        <w:rPr>
          <w:rFonts w:ascii="Times New Roman" w:hAnsi="Times New Roman" w:cs="Times New Roman"/>
          <w:sz w:val="24"/>
          <w:szCs w:val="24"/>
        </w:rPr>
        <w:t xml:space="preserve"> </w:t>
      </w:r>
      <w:r w:rsidR="008B5A99">
        <w:rPr>
          <w:rFonts w:ascii="Times New Roman" w:hAnsi="Times New Roman" w:cs="Times New Roman"/>
          <w:sz w:val="24"/>
          <w:szCs w:val="24"/>
        </w:rPr>
        <w:t>(2-3 капли)</w:t>
      </w:r>
      <w:r w:rsidR="004D3DD7">
        <w:rPr>
          <w:rFonts w:ascii="Times New Roman" w:hAnsi="Times New Roman" w:cs="Times New Roman"/>
          <w:sz w:val="24"/>
          <w:szCs w:val="24"/>
        </w:rPr>
        <w:t>,</w:t>
      </w:r>
      <w:r w:rsidR="009F3622">
        <w:rPr>
          <w:rFonts w:ascii="Times New Roman" w:hAnsi="Times New Roman" w:cs="Times New Roman"/>
          <w:sz w:val="24"/>
          <w:szCs w:val="24"/>
        </w:rPr>
        <w:t xml:space="preserve"> образующего </w:t>
      </w:r>
      <w:r w:rsidR="009F3622" w:rsidRPr="00202506">
        <w:rPr>
          <w:rFonts w:ascii="Times New Roman" w:hAnsi="Times New Roman" w:cs="Times New Roman"/>
          <w:sz w:val="24"/>
          <w:szCs w:val="24"/>
        </w:rPr>
        <w:t xml:space="preserve">с </w:t>
      </w:r>
      <w:proofErr w:type="spellStart"/>
      <w:r w:rsidR="009F3622" w:rsidRPr="00202506">
        <w:rPr>
          <w:rFonts w:ascii="Times New Roman" w:hAnsi="Times New Roman" w:cs="Times New Roman"/>
          <w:bCs/>
          <w:sz w:val="24"/>
          <w:szCs w:val="24"/>
          <w:lang w:val="en-US"/>
        </w:rPr>
        <w:t>Mn</w:t>
      </w:r>
      <w:proofErr w:type="spellEnd"/>
      <w:r w:rsidR="009F3622" w:rsidRPr="00202506">
        <w:rPr>
          <w:rFonts w:ascii="Times New Roman" w:hAnsi="Times New Roman" w:cs="Times New Roman"/>
          <w:bCs/>
          <w:sz w:val="24"/>
          <w:szCs w:val="24"/>
          <w:vertAlign w:val="superscript"/>
        </w:rPr>
        <w:t>2+</w:t>
      </w:r>
      <w:r w:rsidR="009F3622">
        <w:rPr>
          <w:rFonts w:ascii="Times New Roman" w:hAnsi="Times New Roman" w:cs="Times New Roman"/>
          <w:sz w:val="24"/>
          <w:szCs w:val="24"/>
        </w:rPr>
        <w:t xml:space="preserve"> к</w:t>
      </w:r>
      <w:r w:rsidR="009F3622" w:rsidRPr="00202506">
        <w:rPr>
          <w:rFonts w:ascii="Times New Roman" w:hAnsi="Times New Roman" w:cs="Times New Roman"/>
          <w:sz w:val="24"/>
          <w:szCs w:val="24"/>
        </w:rPr>
        <w:t>омплекс коричнев</w:t>
      </w:r>
      <w:r w:rsidR="009F3622">
        <w:rPr>
          <w:rFonts w:ascii="Times New Roman" w:hAnsi="Times New Roman" w:cs="Times New Roman"/>
          <w:sz w:val="24"/>
          <w:szCs w:val="24"/>
        </w:rPr>
        <w:t xml:space="preserve">ого цвета. </w:t>
      </w:r>
      <w:r w:rsidR="008B5A99">
        <w:rPr>
          <w:rFonts w:ascii="Times New Roman" w:eastAsia="Times New Roman" w:hAnsi="Times New Roman" w:cs="Times New Roman"/>
          <w:sz w:val="24"/>
          <w:szCs w:val="24"/>
          <w:lang w:eastAsia="ru-RU"/>
        </w:rPr>
        <w:t>Длина окрашенной зоны является аналитическим</w:t>
      </w:r>
      <w:r w:rsidR="008B5A99" w:rsidRPr="00736A7F">
        <w:rPr>
          <w:rFonts w:ascii="Times New Roman" w:eastAsia="Times New Roman" w:hAnsi="Times New Roman" w:cs="Times New Roman"/>
          <w:sz w:val="24"/>
          <w:szCs w:val="24"/>
          <w:lang w:eastAsia="ru-RU"/>
        </w:rPr>
        <w:t xml:space="preserve"> сигнал</w:t>
      </w:r>
      <w:r w:rsidR="008B5A99">
        <w:rPr>
          <w:rFonts w:ascii="Times New Roman" w:eastAsia="Times New Roman" w:hAnsi="Times New Roman" w:cs="Times New Roman"/>
          <w:sz w:val="24"/>
          <w:szCs w:val="24"/>
          <w:lang w:eastAsia="ru-RU"/>
        </w:rPr>
        <w:t>ом.</w:t>
      </w:r>
      <w:r w:rsidR="008B5A99" w:rsidRPr="00736A7F">
        <w:rPr>
          <w:rFonts w:ascii="Times New Roman" w:eastAsia="Times New Roman" w:hAnsi="Times New Roman" w:cs="Times New Roman"/>
          <w:sz w:val="24"/>
          <w:szCs w:val="24"/>
          <w:lang w:eastAsia="ru-RU"/>
        </w:rPr>
        <w:t xml:space="preserve"> </w:t>
      </w:r>
      <w:proofErr w:type="gramStart"/>
      <w:r w:rsidR="008B5A99" w:rsidRPr="00202506">
        <w:rPr>
          <w:rFonts w:ascii="Times New Roman" w:hAnsi="Times New Roman" w:cs="Times New Roman"/>
          <w:sz w:val="24"/>
          <w:szCs w:val="24"/>
        </w:rPr>
        <w:t xml:space="preserve">Установлено, что зависимость длины зоны от концентрации ионов </w:t>
      </w:r>
      <w:proofErr w:type="spellStart"/>
      <w:r w:rsidR="008B5A99" w:rsidRPr="00202506">
        <w:rPr>
          <w:rFonts w:ascii="Times New Roman" w:hAnsi="Times New Roman" w:cs="Times New Roman"/>
          <w:bCs/>
          <w:sz w:val="24"/>
          <w:szCs w:val="24"/>
          <w:lang w:val="en-US"/>
        </w:rPr>
        <w:t>Mn</w:t>
      </w:r>
      <w:proofErr w:type="spellEnd"/>
      <w:r w:rsidR="008B5A99" w:rsidRPr="00202506">
        <w:rPr>
          <w:rFonts w:ascii="Times New Roman" w:hAnsi="Times New Roman" w:cs="Times New Roman"/>
          <w:bCs/>
          <w:sz w:val="24"/>
          <w:szCs w:val="24"/>
          <w:vertAlign w:val="superscript"/>
        </w:rPr>
        <w:t xml:space="preserve">2+ </w:t>
      </w:r>
      <w:r w:rsidR="008B5A99" w:rsidRPr="00202506">
        <w:rPr>
          <w:rFonts w:ascii="Times New Roman" w:hAnsi="Times New Roman" w:cs="Times New Roman"/>
          <w:sz w:val="24"/>
          <w:szCs w:val="24"/>
        </w:rPr>
        <w:t>в растворе линейна в диапазоне концентраций 0,03 – 1 мг/л. Предел обнаружения (</w:t>
      </w:r>
      <w:proofErr w:type="spellStart"/>
      <w:r w:rsidR="008B5A99" w:rsidRPr="00202506">
        <w:rPr>
          <w:rFonts w:ascii="Times New Roman" w:hAnsi="Times New Roman" w:cs="Times New Roman"/>
          <w:sz w:val="24"/>
          <w:szCs w:val="24"/>
        </w:rPr>
        <w:t>ПрО</w:t>
      </w:r>
      <w:proofErr w:type="spellEnd"/>
      <w:r w:rsidR="008B5A99" w:rsidRPr="00202506">
        <w:rPr>
          <w:rFonts w:ascii="Times New Roman" w:hAnsi="Times New Roman" w:cs="Times New Roman"/>
          <w:sz w:val="24"/>
          <w:szCs w:val="24"/>
        </w:rPr>
        <w:t>) ионов рассчитан как отношение величины аналитического сигнала для минимально определяемой концентрации к тангенсу угла наклона градировочной прямой</w:t>
      </w:r>
      <w:r w:rsidR="00910B78">
        <w:rPr>
          <w:rFonts w:ascii="Times New Roman" w:hAnsi="Times New Roman" w:cs="Times New Roman"/>
          <w:sz w:val="24"/>
          <w:szCs w:val="24"/>
        </w:rPr>
        <w:t xml:space="preserve"> и</w:t>
      </w:r>
      <w:r w:rsidR="008B5A99" w:rsidRPr="00202506">
        <w:rPr>
          <w:rFonts w:ascii="Times New Roman" w:hAnsi="Times New Roman" w:cs="Times New Roman"/>
          <w:sz w:val="24"/>
          <w:szCs w:val="24"/>
        </w:rPr>
        <w:t xml:space="preserve"> составляет 0,06 мг/л.</w:t>
      </w:r>
      <w:r w:rsidR="008B5A99">
        <w:rPr>
          <w:rFonts w:ascii="Times New Roman" w:hAnsi="Times New Roman" w:cs="Times New Roman"/>
          <w:sz w:val="24"/>
          <w:szCs w:val="24"/>
        </w:rPr>
        <w:t xml:space="preserve"> </w:t>
      </w:r>
      <w:r w:rsidR="00DC14FF">
        <w:rPr>
          <w:rFonts w:ascii="Times New Roman" w:hAnsi="Times New Roman" w:cs="Times New Roman"/>
          <w:sz w:val="24"/>
          <w:szCs w:val="24"/>
        </w:rPr>
        <w:t>Проверка</w:t>
      </w:r>
      <w:r w:rsidR="00B00449">
        <w:rPr>
          <w:rFonts w:ascii="Times New Roman" w:hAnsi="Times New Roman" w:cs="Times New Roman"/>
          <w:sz w:val="24"/>
          <w:szCs w:val="24"/>
        </w:rPr>
        <w:t xml:space="preserve"> п</w:t>
      </w:r>
      <w:r w:rsidR="00824EC8" w:rsidRPr="00067AB0">
        <w:rPr>
          <w:rFonts w:ascii="Times New Roman" w:hAnsi="Times New Roman" w:cs="Times New Roman"/>
          <w:sz w:val="24"/>
          <w:szCs w:val="24"/>
        </w:rPr>
        <w:t>равильност</w:t>
      </w:r>
      <w:r w:rsidR="00B00449">
        <w:rPr>
          <w:rFonts w:ascii="Times New Roman" w:hAnsi="Times New Roman" w:cs="Times New Roman"/>
          <w:sz w:val="24"/>
          <w:szCs w:val="24"/>
        </w:rPr>
        <w:t>и</w:t>
      </w:r>
      <w:r w:rsidR="00824EC8" w:rsidRPr="00067AB0">
        <w:rPr>
          <w:rFonts w:ascii="Times New Roman" w:hAnsi="Times New Roman" w:cs="Times New Roman"/>
          <w:sz w:val="24"/>
          <w:szCs w:val="24"/>
        </w:rPr>
        <w:t xml:space="preserve"> определения </w:t>
      </w:r>
      <w:proofErr w:type="spellStart"/>
      <w:r w:rsidR="00DA3301" w:rsidRPr="00067AB0">
        <w:rPr>
          <w:rFonts w:ascii="Times New Roman" w:hAnsi="Times New Roman" w:cs="Times New Roman"/>
          <w:bCs/>
          <w:sz w:val="24"/>
          <w:szCs w:val="24"/>
          <w:lang w:val="en-US"/>
        </w:rPr>
        <w:t>Mn</w:t>
      </w:r>
      <w:proofErr w:type="spellEnd"/>
      <w:r w:rsidR="00DA3301" w:rsidRPr="00067AB0">
        <w:rPr>
          <w:rFonts w:ascii="Times New Roman" w:hAnsi="Times New Roman" w:cs="Times New Roman"/>
          <w:bCs/>
          <w:sz w:val="24"/>
          <w:szCs w:val="24"/>
          <w:vertAlign w:val="superscript"/>
        </w:rPr>
        <w:t xml:space="preserve">2+ </w:t>
      </w:r>
      <w:r w:rsidR="00FD5A6A">
        <w:rPr>
          <w:rFonts w:ascii="Times New Roman" w:hAnsi="Times New Roman" w:cs="Times New Roman"/>
          <w:bCs/>
          <w:sz w:val="24"/>
          <w:szCs w:val="24"/>
        </w:rPr>
        <w:t xml:space="preserve"> </w:t>
      </w:r>
      <w:r w:rsidR="00B00449">
        <w:rPr>
          <w:rFonts w:ascii="Times New Roman" w:hAnsi="Times New Roman" w:cs="Times New Roman"/>
          <w:color w:val="000000"/>
          <w:sz w:val="24"/>
          <w:szCs w:val="24"/>
        </w:rPr>
        <w:t>проведена</w:t>
      </w:r>
      <w:r w:rsidR="00824EC8" w:rsidRPr="00067AB0">
        <w:rPr>
          <w:rFonts w:ascii="Times New Roman" w:hAnsi="Times New Roman" w:cs="Times New Roman"/>
          <w:color w:val="000000"/>
          <w:sz w:val="24"/>
          <w:szCs w:val="24"/>
        </w:rPr>
        <w:t xml:space="preserve"> метод</w:t>
      </w:r>
      <w:r w:rsidR="00DC14FF">
        <w:rPr>
          <w:rFonts w:ascii="Times New Roman" w:hAnsi="Times New Roman" w:cs="Times New Roman"/>
          <w:color w:val="000000"/>
          <w:sz w:val="24"/>
          <w:szCs w:val="24"/>
        </w:rPr>
        <w:t>ом</w:t>
      </w:r>
      <w:r w:rsidR="00824EC8" w:rsidRPr="00067AB0">
        <w:rPr>
          <w:rFonts w:ascii="Times New Roman" w:hAnsi="Times New Roman" w:cs="Times New Roman"/>
          <w:color w:val="000000"/>
          <w:sz w:val="24"/>
          <w:szCs w:val="24"/>
        </w:rPr>
        <w:t xml:space="preserve"> «введено – найдено</w:t>
      </w:r>
      <w:r w:rsidR="0069139E">
        <w:rPr>
          <w:rFonts w:ascii="Times New Roman" w:hAnsi="Times New Roman" w:cs="Times New Roman"/>
          <w:color w:val="000000"/>
          <w:sz w:val="24"/>
          <w:szCs w:val="24"/>
        </w:rPr>
        <w:t>»</w:t>
      </w:r>
      <w:r w:rsidR="00DA3301" w:rsidRPr="00067AB0">
        <w:rPr>
          <w:rFonts w:ascii="Times New Roman" w:hAnsi="Times New Roman" w:cs="Times New Roman"/>
          <w:color w:val="000000"/>
          <w:sz w:val="24"/>
          <w:szCs w:val="24"/>
        </w:rPr>
        <w:t xml:space="preserve"> (табл. 3)</w:t>
      </w:r>
      <w:r w:rsidR="00DC14FF">
        <w:rPr>
          <w:rFonts w:ascii="Times New Roman" w:hAnsi="Times New Roman" w:cs="Times New Roman"/>
          <w:color w:val="000000"/>
          <w:sz w:val="24"/>
          <w:szCs w:val="24"/>
        </w:rPr>
        <w:t xml:space="preserve"> и оценкой значимости систематической погрешности по</w:t>
      </w:r>
      <w:proofErr w:type="gramEnd"/>
      <w:r w:rsidR="00DC14FF">
        <w:rPr>
          <w:rFonts w:ascii="Times New Roman" w:hAnsi="Times New Roman" w:cs="Times New Roman"/>
          <w:color w:val="000000"/>
          <w:sz w:val="24"/>
          <w:szCs w:val="24"/>
        </w:rPr>
        <w:t xml:space="preserve"> </w:t>
      </w:r>
      <w:proofErr w:type="gramStart"/>
      <w:r w:rsidR="00DC14FF">
        <w:rPr>
          <w:rFonts w:ascii="Times New Roman" w:hAnsi="Times New Roman" w:cs="Times New Roman"/>
          <w:sz w:val="24"/>
          <w:szCs w:val="24"/>
          <w:lang w:val="en-US"/>
        </w:rPr>
        <w:t>t</w:t>
      </w:r>
      <w:r w:rsidR="00DC14FF" w:rsidRPr="00632EE5">
        <w:rPr>
          <w:rFonts w:ascii="Times New Roman" w:hAnsi="Times New Roman" w:cs="Times New Roman"/>
          <w:sz w:val="24"/>
          <w:szCs w:val="24"/>
        </w:rPr>
        <w:t>-</w:t>
      </w:r>
      <w:r w:rsidR="00DC14FF">
        <w:rPr>
          <w:rFonts w:ascii="Times New Roman" w:hAnsi="Times New Roman" w:cs="Times New Roman"/>
          <w:sz w:val="24"/>
          <w:szCs w:val="24"/>
        </w:rPr>
        <w:t>критерию</w:t>
      </w:r>
      <w:proofErr w:type="gramEnd"/>
      <w:r w:rsidR="00824EC8" w:rsidRPr="00067AB0">
        <w:rPr>
          <w:rFonts w:ascii="Times New Roman" w:hAnsi="Times New Roman" w:cs="Times New Roman"/>
          <w:color w:val="000000"/>
          <w:sz w:val="24"/>
          <w:szCs w:val="24"/>
        </w:rPr>
        <w:t xml:space="preserve">. </w:t>
      </w:r>
    </w:p>
    <w:p w:rsidR="0097082B" w:rsidRDefault="0097082B" w:rsidP="0097082B">
      <w:pPr>
        <w:spacing w:after="0" w:line="240" w:lineRule="auto"/>
        <w:jc w:val="both"/>
        <w:rPr>
          <w:rFonts w:ascii="Times New Roman" w:hAnsi="Times New Roman" w:cs="Times New Roman"/>
          <w:color w:val="000000"/>
          <w:sz w:val="24"/>
          <w:szCs w:val="24"/>
        </w:rPr>
      </w:pPr>
    </w:p>
    <w:p w:rsidR="00044435" w:rsidRPr="0069139E" w:rsidRDefault="00DA3301" w:rsidP="00044435">
      <w:pPr>
        <w:spacing w:after="0" w:line="240" w:lineRule="auto"/>
        <w:jc w:val="center"/>
        <w:rPr>
          <w:rFonts w:ascii="Times New Roman" w:hAnsi="Times New Roman" w:cs="Times New Roman"/>
          <w:bCs/>
          <w:sz w:val="24"/>
          <w:szCs w:val="24"/>
        </w:rPr>
      </w:pPr>
      <w:r w:rsidRPr="00067AB0">
        <w:rPr>
          <w:rFonts w:ascii="Times New Roman" w:hAnsi="Times New Roman" w:cs="Times New Roman"/>
          <w:color w:val="000000"/>
          <w:sz w:val="24"/>
          <w:szCs w:val="24"/>
        </w:rPr>
        <w:t xml:space="preserve">Таблица 3 – </w:t>
      </w:r>
      <w:r w:rsidRPr="00067AB0">
        <w:rPr>
          <w:rFonts w:ascii="Times New Roman" w:hAnsi="Times New Roman" w:cs="Times New Roman"/>
          <w:bCs/>
          <w:color w:val="000000"/>
          <w:sz w:val="24"/>
          <w:szCs w:val="24"/>
        </w:rPr>
        <w:t xml:space="preserve">Результаты </w:t>
      </w:r>
      <w:r w:rsidR="00044435">
        <w:rPr>
          <w:rFonts w:ascii="Times New Roman" w:hAnsi="Times New Roman" w:cs="Times New Roman"/>
          <w:bCs/>
          <w:color w:val="000000"/>
          <w:sz w:val="24"/>
          <w:szCs w:val="24"/>
        </w:rPr>
        <w:t xml:space="preserve">проверки правильности </w:t>
      </w:r>
      <w:r w:rsidRPr="00067AB0">
        <w:rPr>
          <w:rFonts w:ascii="Times New Roman" w:hAnsi="Times New Roman" w:cs="Times New Roman"/>
          <w:bCs/>
          <w:color w:val="000000"/>
          <w:sz w:val="24"/>
          <w:szCs w:val="24"/>
        </w:rPr>
        <w:t xml:space="preserve">определения ионов </w:t>
      </w:r>
      <w:proofErr w:type="spellStart"/>
      <w:r w:rsidRPr="00067AB0">
        <w:rPr>
          <w:rFonts w:ascii="Times New Roman" w:hAnsi="Times New Roman" w:cs="Times New Roman"/>
          <w:bCs/>
          <w:sz w:val="24"/>
          <w:szCs w:val="24"/>
          <w:lang w:val="en-US"/>
        </w:rPr>
        <w:t>Mn</w:t>
      </w:r>
      <w:proofErr w:type="spellEnd"/>
      <w:r w:rsidRPr="00067AB0">
        <w:rPr>
          <w:rFonts w:ascii="Times New Roman" w:hAnsi="Times New Roman" w:cs="Times New Roman"/>
          <w:bCs/>
          <w:sz w:val="24"/>
          <w:szCs w:val="24"/>
          <w:vertAlign w:val="superscript"/>
        </w:rPr>
        <w:t>2+</w:t>
      </w:r>
      <w:r w:rsidR="0069139E">
        <w:rPr>
          <w:rFonts w:ascii="Times New Roman" w:hAnsi="Times New Roman" w:cs="Times New Roman"/>
          <w:bCs/>
          <w:sz w:val="24"/>
          <w:szCs w:val="24"/>
        </w:rPr>
        <w:t xml:space="preserve"> с </w:t>
      </w:r>
      <w:proofErr w:type="spellStart"/>
      <w:r w:rsidR="0069139E">
        <w:rPr>
          <w:rFonts w:ascii="Times New Roman" w:hAnsi="Times New Roman" w:cs="Times New Roman"/>
          <w:bCs/>
          <w:sz w:val="24"/>
          <w:szCs w:val="24"/>
        </w:rPr>
        <w:t>помощ</w:t>
      </w:r>
      <w:proofErr w:type="spellEnd"/>
    </w:p>
    <w:p w:rsidR="00DA3301" w:rsidRPr="00153C5B" w:rsidRDefault="00DA3301" w:rsidP="00044435">
      <w:pPr>
        <w:spacing w:after="0" w:line="240" w:lineRule="auto"/>
        <w:jc w:val="center"/>
        <w:rPr>
          <w:rFonts w:ascii="Times New Roman" w:hAnsi="Times New Roman" w:cs="Times New Roman"/>
          <w:color w:val="000000"/>
          <w:sz w:val="24"/>
          <w:szCs w:val="24"/>
          <w:lang w:val="en-US"/>
        </w:rPr>
      </w:pPr>
      <w:r w:rsidRPr="00153C5B">
        <w:rPr>
          <w:rFonts w:ascii="Times New Roman" w:hAnsi="Times New Roman" w:cs="Times New Roman"/>
          <w:bCs/>
          <w:color w:val="000000"/>
          <w:sz w:val="24"/>
          <w:szCs w:val="24"/>
          <w:lang w:val="en-US"/>
        </w:rPr>
        <w:t>(</w:t>
      </w:r>
      <w:proofErr w:type="gramStart"/>
      <w:r w:rsidRPr="00067AB0">
        <w:rPr>
          <w:rFonts w:ascii="Times New Roman" w:hAnsi="Times New Roman" w:cs="Times New Roman"/>
          <w:bCs/>
          <w:color w:val="000000"/>
          <w:sz w:val="24"/>
          <w:szCs w:val="24"/>
          <w:lang w:val="en-US"/>
        </w:rPr>
        <w:t>h</w:t>
      </w:r>
      <w:r w:rsidRPr="00067AB0">
        <w:rPr>
          <w:rFonts w:ascii="Times New Roman" w:hAnsi="Times New Roman" w:cs="Times New Roman"/>
          <w:bCs/>
          <w:color w:val="000000"/>
          <w:sz w:val="24"/>
          <w:szCs w:val="24"/>
          <w:vertAlign w:val="subscript"/>
        </w:rPr>
        <w:t>слоя</w:t>
      </w:r>
      <w:proofErr w:type="gramEnd"/>
      <w:r w:rsidRPr="00153C5B">
        <w:rPr>
          <w:rFonts w:ascii="Times New Roman" w:hAnsi="Times New Roman" w:cs="Times New Roman"/>
          <w:bCs/>
          <w:color w:val="000000"/>
          <w:sz w:val="24"/>
          <w:szCs w:val="24"/>
          <w:lang w:val="en-US"/>
        </w:rPr>
        <w:t xml:space="preserve"> = 3,6 </w:t>
      </w:r>
      <w:r w:rsidRPr="00067AB0">
        <w:rPr>
          <w:rFonts w:ascii="Times New Roman" w:hAnsi="Times New Roman" w:cs="Times New Roman"/>
          <w:bCs/>
          <w:color w:val="000000"/>
          <w:sz w:val="24"/>
          <w:szCs w:val="24"/>
        </w:rPr>
        <w:t>см</w:t>
      </w:r>
      <w:r w:rsidRPr="00153C5B">
        <w:rPr>
          <w:rFonts w:ascii="Times New Roman" w:hAnsi="Times New Roman" w:cs="Times New Roman"/>
          <w:bCs/>
          <w:color w:val="000000"/>
          <w:sz w:val="24"/>
          <w:szCs w:val="24"/>
          <w:lang w:val="en-US"/>
        </w:rPr>
        <w:t xml:space="preserve">; </w:t>
      </w:r>
      <w:r w:rsidRPr="00070E8A">
        <w:rPr>
          <w:rFonts w:ascii="Times New Roman" w:hAnsi="Times New Roman" w:cs="Times New Roman"/>
          <w:bCs/>
          <w:iCs/>
          <w:color w:val="000000"/>
          <w:sz w:val="24"/>
          <w:szCs w:val="24"/>
          <w:lang w:val="en-US"/>
        </w:rPr>
        <w:t>I</w:t>
      </w:r>
      <w:r w:rsidRPr="00153C5B">
        <w:rPr>
          <w:rFonts w:ascii="Times New Roman" w:hAnsi="Times New Roman" w:cs="Times New Roman"/>
          <w:bCs/>
          <w:color w:val="000000"/>
          <w:sz w:val="24"/>
          <w:szCs w:val="24"/>
          <w:lang w:val="en-US"/>
        </w:rPr>
        <w:t xml:space="preserve"> = 0,1; </w:t>
      </w:r>
      <w:r w:rsidRPr="00067AB0">
        <w:rPr>
          <w:rFonts w:ascii="Times New Roman" w:hAnsi="Times New Roman" w:cs="Times New Roman"/>
          <w:bCs/>
          <w:color w:val="000000"/>
          <w:sz w:val="24"/>
          <w:szCs w:val="24"/>
        </w:rPr>
        <w:t>рН</w:t>
      </w:r>
      <w:r w:rsidRPr="00153C5B">
        <w:rPr>
          <w:rFonts w:ascii="Times New Roman" w:hAnsi="Times New Roman" w:cs="Times New Roman"/>
          <w:bCs/>
          <w:color w:val="000000"/>
          <w:sz w:val="24"/>
          <w:szCs w:val="24"/>
          <w:lang w:val="en-US"/>
        </w:rPr>
        <w:t xml:space="preserve"> ~ 4,5)</w:t>
      </w:r>
    </w:p>
    <w:tbl>
      <w:tblPr>
        <w:tblStyle w:val="a9"/>
        <w:tblW w:w="0" w:type="auto"/>
        <w:jc w:val="center"/>
        <w:tblLook w:val="04A0" w:firstRow="1" w:lastRow="0" w:firstColumn="1" w:lastColumn="0" w:noHBand="0" w:noVBand="1"/>
      </w:tblPr>
      <w:tblGrid>
        <w:gridCol w:w="2741"/>
        <w:gridCol w:w="1690"/>
        <w:gridCol w:w="1691"/>
        <w:gridCol w:w="2761"/>
      </w:tblGrid>
      <w:tr w:rsidR="0097082B" w:rsidTr="0097082B">
        <w:trPr>
          <w:trHeight w:val="506"/>
          <w:jc w:val="center"/>
        </w:trPr>
        <w:tc>
          <w:tcPr>
            <w:tcW w:w="2741" w:type="dxa"/>
            <w:tcBorders>
              <w:top w:val="single" w:sz="4" w:space="0" w:color="auto"/>
              <w:left w:val="single" w:sz="4" w:space="0" w:color="auto"/>
              <w:bottom w:val="single" w:sz="4" w:space="0" w:color="auto"/>
              <w:right w:val="single" w:sz="4" w:space="0" w:color="auto"/>
            </w:tcBorders>
            <w:vAlign w:val="center"/>
          </w:tcPr>
          <w:p w:rsidR="0097082B" w:rsidRDefault="0069139E" w:rsidP="0097082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Объект анализа</w:t>
            </w:r>
          </w:p>
        </w:tc>
        <w:tc>
          <w:tcPr>
            <w:tcW w:w="1690" w:type="dxa"/>
            <w:tcBorders>
              <w:top w:val="single" w:sz="4" w:space="0" w:color="auto"/>
              <w:left w:val="single" w:sz="4" w:space="0" w:color="auto"/>
              <w:bottom w:val="single" w:sz="4" w:space="0" w:color="auto"/>
              <w:right w:val="single" w:sz="4" w:space="0" w:color="auto"/>
            </w:tcBorders>
            <w:vAlign w:val="center"/>
          </w:tcPr>
          <w:p w:rsidR="0097082B" w:rsidRDefault="0097082B" w:rsidP="0097082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Введено, мг/л</w:t>
            </w:r>
          </w:p>
        </w:tc>
        <w:tc>
          <w:tcPr>
            <w:tcW w:w="1691" w:type="dxa"/>
            <w:tcBorders>
              <w:top w:val="single" w:sz="4" w:space="0" w:color="auto"/>
              <w:left w:val="single" w:sz="4" w:space="0" w:color="auto"/>
              <w:bottom w:val="single" w:sz="4" w:space="0" w:color="auto"/>
              <w:right w:val="single" w:sz="4" w:space="0" w:color="auto"/>
            </w:tcBorders>
            <w:vAlign w:val="center"/>
            <w:hideMark/>
          </w:tcPr>
          <w:p w:rsidR="0097082B" w:rsidRDefault="0097082B" w:rsidP="0097082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Найдено, мг/л</w:t>
            </w:r>
          </w:p>
        </w:tc>
        <w:tc>
          <w:tcPr>
            <w:tcW w:w="2761" w:type="dxa"/>
            <w:tcBorders>
              <w:top w:val="single" w:sz="4" w:space="0" w:color="auto"/>
              <w:left w:val="single" w:sz="4" w:space="0" w:color="auto"/>
              <w:bottom w:val="single" w:sz="4" w:space="0" w:color="auto"/>
              <w:right w:val="single" w:sz="4" w:space="0" w:color="auto"/>
            </w:tcBorders>
            <w:vAlign w:val="center"/>
            <w:hideMark/>
          </w:tcPr>
          <w:p w:rsidR="0097082B" w:rsidRDefault="0097082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Относительное стандартное отклонение </w:t>
            </w:r>
            <w:proofErr w:type="spellStart"/>
            <w:r>
              <w:rPr>
                <w:rFonts w:ascii="Times New Roman" w:hAnsi="Times New Roman" w:cs="Times New Roman"/>
                <w:bCs/>
                <w:color w:val="000000"/>
                <w:sz w:val="24"/>
                <w:szCs w:val="24"/>
                <w:lang w:val="en-US"/>
              </w:rPr>
              <w:t>S</w:t>
            </w:r>
            <w:r>
              <w:rPr>
                <w:rFonts w:ascii="Times New Roman" w:hAnsi="Times New Roman" w:cs="Times New Roman"/>
                <w:bCs/>
                <w:color w:val="000000"/>
                <w:sz w:val="24"/>
                <w:szCs w:val="24"/>
                <w:vertAlign w:val="subscript"/>
                <w:lang w:val="en-US"/>
              </w:rPr>
              <w:t>r</w:t>
            </w:r>
            <w:proofErr w:type="spell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lang w:val="en-US"/>
              </w:rPr>
              <w:t>S</w:t>
            </w:r>
            <w:proofErr w:type="gramEnd"/>
            <w:r>
              <w:rPr>
                <w:rFonts w:ascii="Times New Roman" w:hAnsi="Times New Roman" w:cs="Times New Roman"/>
                <w:bCs/>
                <w:color w:val="000000"/>
                <w:sz w:val="24"/>
                <w:szCs w:val="24"/>
                <w:vertAlign w:val="subscript"/>
              </w:rPr>
              <w:t>х</w:t>
            </w:r>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С</w:t>
            </w:r>
            <w:r>
              <w:rPr>
                <w:rFonts w:ascii="Times New Roman" w:hAnsi="Times New Roman" w:cs="Times New Roman"/>
                <w:bCs/>
                <w:color w:val="000000"/>
                <w:sz w:val="24"/>
                <w:szCs w:val="24"/>
                <w:vertAlign w:val="subscript"/>
              </w:rPr>
              <w:t>ср</w:t>
            </w:r>
            <w:proofErr w:type="spellEnd"/>
          </w:p>
        </w:tc>
      </w:tr>
      <w:tr w:rsidR="0097082B" w:rsidTr="0097082B">
        <w:trPr>
          <w:trHeight w:val="506"/>
          <w:jc w:val="center"/>
        </w:trPr>
        <w:tc>
          <w:tcPr>
            <w:tcW w:w="2741" w:type="dxa"/>
            <w:tcBorders>
              <w:top w:val="single" w:sz="4" w:space="0" w:color="auto"/>
              <w:left w:val="single" w:sz="4" w:space="0" w:color="auto"/>
              <w:bottom w:val="single" w:sz="4" w:space="0" w:color="auto"/>
              <w:right w:val="single" w:sz="4" w:space="0" w:color="auto"/>
            </w:tcBorders>
            <w:vAlign w:val="center"/>
          </w:tcPr>
          <w:p w:rsidR="0097082B" w:rsidRDefault="0069139E" w:rsidP="0097082B">
            <w:pPr>
              <w:rPr>
                <w:rFonts w:ascii="Times New Roman" w:hAnsi="Times New Roman" w:cs="Times New Roman"/>
                <w:color w:val="000000"/>
                <w:sz w:val="24"/>
                <w:szCs w:val="24"/>
              </w:rPr>
            </w:pPr>
            <w:r>
              <w:rPr>
                <w:rFonts w:ascii="Times New Roman" w:hAnsi="Times New Roman" w:cs="Times New Roman"/>
                <w:color w:val="000000"/>
                <w:sz w:val="24"/>
                <w:szCs w:val="24"/>
              </w:rPr>
              <w:t>Модельный раствор</w:t>
            </w:r>
          </w:p>
        </w:tc>
        <w:tc>
          <w:tcPr>
            <w:tcW w:w="1690" w:type="dxa"/>
            <w:vMerge w:val="restart"/>
            <w:tcBorders>
              <w:top w:val="single" w:sz="4" w:space="0" w:color="auto"/>
              <w:left w:val="single" w:sz="4" w:space="0" w:color="auto"/>
              <w:right w:val="single" w:sz="4" w:space="0" w:color="auto"/>
            </w:tcBorders>
            <w:vAlign w:val="center"/>
          </w:tcPr>
          <w:p w:rsidR="0097082B" w:rsidRDefault="0097082B" w:rsidP="0069139E">
            <w:pPr>
              <w:jc w:val="center"/>
              <w:rPr>
                <w:rFonts w:ascii="Times New Roman" w:hAnsi="Times New Roman" w:cs="Times New Roman"/>
                <w:color w:val="000000"/>
                <w:sz w:val="24"/>
                <w:szCs w:val="24"/>
              </w:rPr>
            </w:pPr>
            <w:r w:rsidRPr="00512CEA">
              <w:rPr>
                <w:rFonts w:ascii="Times New Roman" w:hAnsi="Times New Roman" w:cs="Times New Roman"/>
                <w:sz w:val="24"/>
                <w:szCs w:val="24"/>
              </w:rPr>
              <w:t>0,2</w:t>
            </w:r>
            <w:r w:rsidR="0069139E">
              <w:rPr>
                <w:rFonts w:ascii="Times New Roman" w:hAnsi="Times New Roman" w:cs="Times New Roman"/>
                <w:sz w:val="24"/>
                <w:szCs w:val="24"/>
              </w:rPr>
              <w:t>75</w:t>
            </w:r>
          </w:p>
        </w:tc>
        <w:tc>
          <w:tcPr>
            <w:tcW w:w="1691" w:type="dxa"/>
            <w:tcBorders>
              <w:top w:val="single" w:sz="4" w:space="0" w:color="auto"/>
              <w:left w:val="single" w:sz="4" w:space="0" w:color="auto"/>
              <w:bottom w:val="single" w:sz="4" w:space="0" w:color="auto"/>
              <w:right w:val="single" w:sz="4" w:space="0" w:color="auto"/>
            </w:tcBorders>
            <w:vAlign w:val="center"/>
            <w:hideMark/>
          </w:tcPr>
          <w:p w:rsidR="0097082B" w:rsidRDefault="0097082B" w:rsidP="00DC14FF">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00DC14FF">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 0,0</w:t>
            </w:r>
            <w:r w:rsidR="00DC14FF">
              <w:rPr>
                <w:rFonts w:ascii="Times New Roman" w:hAnsi="Times New Roman" w:cs="Times New Roman"/>
                <w:color w:val="000000"/>
                <w:sz w:val="24"/>
                <w:szCs w:val="24"/>
              </w:rPr>
              <w:t>30</w:t>
            </w:r>
          </w:p>
        </w:tc>
        <w:tc>
          <w:tcPr>
            <w:tcW w:w="2761" w:type="dxa"/>
            <w:tcBorders>
              <w:top w:val="single" w:sz="4" w:space="0" w:color="auto"/>
              <w:left w:val="single" w:sz="4" w:space="0" w:color="auto"/>
              <w:bottom w:val="single" w:sz="4" w:space="0" w:color="auto"/>
              <w:right w:val="single" w:sz="4" w:space="0" w:color="auto"/>
            </w:tcBorders>
            <w:vAlign w:val="center"/>
            <w:hideMark/>
          </w:tcPr>
          <w:p w:rsidR="0097082B" w:rsidRDefault="0097082B" w:rsidP="00DC14F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DC14FF">
              <w:rPr>
                <w:rFonts w:ascii="Times New Roman" w:hAnsi="Times New Roman" w:cs="Times New Roman"/>
                <w:color w:val="000000"/>
                <w:sz w:val="24"/>
                <w:szCs w:val="24"/>
              </w:rPr>
              <w:t>9</w:t>
            </w:r>
          </w:p>
        </w:tc>
      </w:tr>
      <w:tr w:rsidR="0097082B" w:rsidTr="00044435">
        <w:trPr>
          <w:trHeight w:val="506"/>
          <w:jc w:val="center"/>
        </w:trPr>
        <w:tc>
          <w:tcPr>
            <w:tcW w:w="2741" w:type="dxa"/>
            <w:tcBorders>
              <w:top w:val="single" w:sz="4" w:space="0" w:color="auto"/>
              <w:left w:val="single" w:sz="4" w:space="0" w:color="auto"/>
              <w:bottom w:val="single" w:sz="4" w:space="0" w:color="auto"/>
              <w:right w:val="single" w:sz="4" w:space="0" w:color="auto"/>
            </w:tcBorders>
            <w:vAlign w:val="center"/>
          </w:tcPr>
          <w:p w:rsidR="0097082B" w:rsidRDefault="00DC14FF" w:rsidP="00044435">
            <w:pPr>
              <w:rPr>
                <w:rFonts w:ascii="Times New Roman" w:hAnsi="Times New Roman" w:cs="Times New Roman"/>
                <w:color w:val="000000"/>
                <w:sz w:val="24"/>
                <w:szCs w:val="24"/>
              </w:rPr>
            </w:pPr>
            <w:r>
              <w:rPr>
                <w:rFonts w:ascii="Times New Roman" w:hAnsi="Times New Roman" w:cs="Times New Roman"/>
                <w:bCs/>
                <w:color w:val="000000"/>
                <w:sz w:val="24"/>
                <w:szCs w:val="24"/>
              </w:rPr>
              <w:t>Водопроводная вода</w:t>
            </w:r>
          </w:p>
        </w:tc>
        <w:tc>
          <w:tcPr>
            <w:tcW w:w="1690" w:type="dxa"/>
            <w:vMerge/>
            <w:tcBorders>
              <w:left w:val="single" w:sz="4" w:space="0" w:color="auto"/>
              <w:bottom w:val="single" w:sz="4" w:space="0" w:color="auto"/>
              <w:right w:val="single" w:sz="4" w:space="0" w:color="auto"/>
            </w:tcBorders>
          </w:tcPr>
          <w:p w:rsidR="0097082B" w:rsidRPr="00512CEA" w:rsidRDefault="0097082B" w:rsidP="0097082B">
            <w:pPr>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vAlign w:val="center"/>
            <w:hideMark/>
          </w:tcPr>
          <w:p w:rsidR="0097082B" w:rsidRDefault="0097082B" w:rsidP="00DC14F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DC14FF">
              <w:rPr>
                <w:rFonts w:ascii="Times New Roman" w:hAnsi="Times New Roman" w:cs="Times New Roman"/>
                <w:color w:val="000000"/>
                <w:sz w:val="24"/>
                <w:szCs w:val="24"/>
              </w:rPr>
              <w:t>319</w:t>
            </w:r>
            <w:r w:rsidR="00044435">
              <w:rPr>
                <w:rFonts w:ascii="Times New Roman" w:hAnsi="Times New Roman" w:cs="Times New Roman"/>
                <w:color w:val="000000"/>
                <w:sz w:val="24"/>
                <w:szCs w:val="24"/>
              </w:rPr>
              <w:t xml:space="preserve"> ± 0,0</w:t>
            </w:r>
            <w:r w:rsidR="00DC14FF">
              <w:rPr>
                <w:rFonts w:ascii="Times New Roman" w:hAnsi="Times New Roman" w:cs="Times New Roman"/>
                <w:color w:val="000000"/>
                <w:sz w:val="24"/>
                <w:szCs w:val="24"/>
              </w:rPr>
              <w:t>30</w:t>
            </w:r>
          </w:p>
        </w:tc>
        <w:tc>
          <w:tcPr>
            <w:tcW w:w="2761" w:type="dxa"/>
            <w:tcBorders>
              <w:top w:val="single" w:sz="4" w:space="0" w:color="auto"/>
              <w:left w:val="single" w:sz="4" w:space="0" w:color="auto"/>
              <w:bottom w:val="single" w:sz="4" w:space="0" w:color="auto"/>
              <w:right w:val="single" w:sz="4" w:space="0" w:color="auto"/>
            </w:tcBorders>
            <w:vAlign w:val="center"/>
            <w:hideMark/>
          </w:tcPr>
          <w:p w:rsidR="0097082B" w:rsidRDefault="00044435" w:rsidP="00DC14F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DC14FF">
              <w:rPr>
                <w:rFonts w:ascii="Times New Roman" w:hAnsi="Times New Roman" w:cs="Times New Roman"/>
                <w:color w:val="000000"/>
                <w:sz w:val="24"/>
                <w:szCs w:val="24"/>
              </w:rPr>
              <w:t>9</w:t>
            </w:r>
          </w:p>
        </w:tc>
      </w:tr>
    </w:tbl>
    <w:p w:rsidR="00910B78" w:rsidRDefault="00910B78" w:rsidP="00067AB0">
      <w:pPr>
        <w:spacing w:after="0" w:line="240" w:lineRule="auto"/>
        <w:jc w:val="both"/>
        <w:rPr>
          <w:rFonts w:ascii="Times New Roman" w:hAnsi="Times New Roman" w:cs="Times New Roman"/>
          <w:color w:val="000000"/>
          <w:sz w:val="24"/>
          <w:szCs w:val="24"/>
        </w:rPr>
      </w:pPr>
    </w:p>
    <w:p w:rsidR="00423EB8" w:rsidRDefault="00423EB8" w:rsidP="00423EB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данным таблицы </w:t>
      </w:r>
      <w:r w:rsidRPr="00423EB8">
        <w:rPr>
          <w:rFonts w:ascii="Times New Roman" w:hAnsi="Times New Roman" w:cs="Times New Roman"/>
          <w:color w:val="000000"/>
          <w:sz w:val="24"/>
          <w:szCs w:val="24"/>
        </w:rPr>
        <w:t>3</w:t>
      </w:r>
      <w:r w:rsidR="00044435" w:rsidRPr="00423EB8">
        <w:rPr>
          <w:rFonts w:ascii="Times New Roman" w:hAnsi="Times New Roman" w:cs="Times New Roman"/>
          <w:color w:val="000000"/>
          <w:sz w:val="24"/>
          <w:szCs w:val="24"/>
        </w:rPr>
        <w:t xml:space="preserve"> р</w:t>
      </w:r>
      <w:r w:rsidR="002F2484" w:rsidRPr="00423EB8">
        <w:rPr>
          <w:rFonts w:ascii="Times New Roman" w:hAnsi="Times New Roman" w:cs="Times New Roman"/>
          <w:color w:val="000000"/>
          <w:sz w:val="24"/>
          <w:szCs w:val="24"/>
        </w:rPr>
        <w:t>азличия введенных и найденных содержаний ионов находятся в пределах погрешности</w:t>
      </w:r>
      <w:r w:rsidR="002F2484" w:rsidRPr="00067AB0">
        <w:rPr>
          <w:rFonts w:ascii="Times New Roman" w:hAnsi="Times New Roman" w:cs="Times New Roman"/>
          <w:color w:val="000000"/>
          <w:sz w:val="24"/>
          <w:szCs w:val="24"/>
        </w:rPr>
        <w:t xml:space="preserve"> опыта. </w:t>
      </w:r>
    </w:p>
    <w:p w:rsidR="00727DEA" w:rsidRDefault="00727DEA" w:rsidP="005C00CD">
      <w:pPr>
        <w:spacing w:after="0" w:line="240" w:lineRule="auto"/>
        <w:jc w:val="both"/>
        <w:rPr>
          <w:rFonts w:ascii="Times New Roman" w:hAnsi="Times New Roman" w:cs="Times New Roman"/>
          <w:sz w:val="24"/>
          <w:szCs w:val="24"/>
        </w:rPr>
      </w:pPr>
    </w:p>
    <w:p w:rsidR="00D215C8" w:rsidRPr="00FD5A6A" w:rsidRDefault="00D215C8" w:rsidP="00D215C8">
      <w:pPr>
        <w:spacing w:after="0" w:line="240" w:lineRule="auto"/>
        <w:jc w:val="center"/>
        <w:rPr>
          <w:rFonts w:ascii="Times New Roman" w:hAnsi="Times New Roman" w:cs="Times New Roman"/>
          <w:b/>
          <w:sz w:val="24"/>
          <w:szCs w:val="24"/>
        </w:rPr>
      </w:pPr>
      <w:r w:rsidRPr="00FD5A6A">
        <w:rPr>
          <w:rFonts w:ascii="Times New Roman" w:hAnsi="Times New Roman" w:cs="Times New Roman"/>
          <w:b/>
          <w:sz w:val="24"/>
          <w:szCs w:val="24"/>
        </w:rPr>
        <w:t>Выводы</w:t>
      </w:r>
    </w:p>
    <w:p w:rsidR="00185C4D" w:rsidRDefault="00185C4D" w:rsidP="005C00CD">
      <w:pPr>
        <w:spacing w:after="0" w:line="240" w:lineRule="auto"/>
        <w:jc w:val="both"/>
        <w:rPr>
          <w:rFonts w:ascii="Times New Roman" w:hAnsi="Times New Roman" w:cs="Times New Roman"/>
          <w:sz w:val="24"/>
          <w:szCs w:val="24"/>
        </w:rPr>
      </w:pPr>
    </w:p>
    <w:p w:rsidR="00157F28" w:rsidRDefault="00D215C8" w:rsidP="00185C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FD5A6A">
        <w:rPr>
          <w:rFonts w:ascii="Times New Roman" w:hAnsi="Times New Roman" w:cs="Times New Roman"/>
          <w:sz w:val="24"/>
          <w:szCs w:val="24"/>
        </w:rPr>
        <w:t>Избирательность сорбц</w:t>
      </w:r>
      <w:proofErr w:type="gramStart"/>
      <w:r w:rsidR="00FD5A6A">
        <w:rPr>
          <w:rFonts w:ascii="Times New Roman" w:hAnsi="Times New Roman" w:cs="Times New Roman"/>
          <w:sz w:val="24"/>
          <w:szCs w:val="24"/>
        </w:rPr>
        <w:t>ии ио</w:t>
      </w:r>
      <w:proofErr w:type="gramEnd"/>
      <w:r w:rsidR="00FD5A6A">
        <w:rPr>
          <w:rFonts w:ascii="Times New Roman" w:hAnsi="Times New Roman" w:cs="Times New Roman"/>
          <w:sz w:val="24"/>
          <w:szCs w:val="24"/>
        </w:rPr>
        <w:t xml:space="preserve">нов </w:t>
      </w:r>
      <w:proofErr w:type="spellStart"/>
      <w:r w:rsidR="00FD5A6A" w:rsidRPr="00D215C8">
        <w:rPr>
          <w:rFonts w:ascii="Times New Roman" w:hAnsi="Times New Roman" w:cs="Times New Roman"/>
          <w:bCs/>
          <w:sz w:val="24"/>
          <w:szCs w:val="24"/>
          <w:lang w:val="en-US"/>
        </w:rPr>
        <w:t>Mn</w:t>
      </w:r>
      <w:proofErr w:type="spellEnd"/>
      <w:r w:rsidR="00FD5A6A" w:rsidRPr="00D215C8">
        <w:rPr>
          <w:rFonts w:ascii="Times New Roman" w:hAnsi="Times New Roman" w:cs="Times New Roman"/>
          <w:bCs/>
          <w:sz w:val="24"/>
          <w:szCs w:val="24"/>
          <w:vertAlign w:val="superscript"/>
        </w:rPr>
        <w:t>2+</w:t>
      </w:r>
      <w:r w:rsidR="00FD5A6A">
        <w:rPr>
          <w:rFonts w:ascii="Times New Roman" w:hAnsi="Times New Roman" w:cs="Times New Roman"/>
          <w:bCs/>
          <w:sz w:val="24"/>
          <w:szCs w:val="24"/>
        </w:rPr>
        <w:t xml:space="preserve"> </w:t>
      </w:r>
      <w:r w:rsidR="00FD5A6A" w:rsidRPr="00D215C8">
        <w:rPr>
          <w:rFonts w:ascii="Times New Roman" w:hAnsi="Times New Roman" w:cs="Times New Roman"/>
          <w:sz w:val="24"/>
          <w:szCs w:val="24"/>
        </w:rPr>
        <w:t>карбоксильн</w:t>
      </w:r>
      <w:r w:rsidR="00FD5A6A">
        <w:rPr>
          <w:rFonts w:ascii="Times New Roman" w:hAnsi="Times New Roman" w:cs="Times New Roman"/>
          <w:sz w:val="24"/>
          <w:szCs w:val="24"/>
        </w:rPr>
        <w:t>ым</w:t>
      </w:r>
      <w:r w:rsidR="00FD5A6A" w:rsidRPr="00D215C8">
        <w:rPr>
          <w:rFonts w:ascii="Times New Roman" w:hAnsi="Times New Roman" w:cs="Times New Roman"/>
          <w:sz w:val="24"/>
          <w:szCs w:val="24"/>
        </w:rPr>
        <w:t xml:space="preserve"> </w:t>
      </w:r>
      <w:r w:rsidR="00FD5A6A" w:rsidRPr="00D215C8">
        <w:rPr>
          <w:rFonts w:ascii="Times New Roman" w:eastAsia="ArialMT" w:hAnsi="Times New Roman" w:cs="Times New Roman"/>
          <w:sz w:val="24"/>
          <w:szCs w:val="24"/>
        </w:rPr>
        <w:t>катионит</w:t>
      </w:r>
      <w:r w:rsidR="00FD5A6A">
        <w:rPr>
          <w:rFonts w:ascii="Times New Roman" w:eastAsia="ArialMT" w:hAnsi="Times New Roman" w:cs="Times New Roman"/>
          <w:sz w:val="24"/>
          <w:szCs w:val="24"/>
        </w:rPr>
        <w:t>ом</w:t>
      </w:r>
      <w:r w:rsidR="00FD5A6A" w:rsidRPr="00D215C8">
        <w:rPr>
          <w:rFonts w:ascii="Times New Roman" w:eastAsia="ArialMT" w:hAnsi="Times New Roman" w:cs="Times New Roman"/>
          <w:sz w:val="24"/>
          <w:szCs w:val="24"/>
        </w:rPr>
        <w:t xml:space="preserve"> КБ-2Э-16 </w:t>
      </w:r>
      <w:r w:rsidR="004603A7" w:rsidRPr="00D215C8">
        <w:rPr>
          <w:rFonts w:ascii="Times New Roman" w:eastAsia="ArialMT" w:hAnsi="Times New Roman" w:cs="Times New Roman"/>
          <w:sz w:val="24"/>
          <w:szCs w:val="24"/>
        </w:rPr>
        <w:t>макросетчатой структуры</w:t>
      </w:r>
      <w:r w:rsidR="004603A7">
        <w:rPr>
          <w:rFonts w:ascii="Times New Roman" w:eastAsia="ArialMT" w:hAnsi="Times New Roman" w:cs="Times New Roman"/>
          <w:sz w:val="24"/>
          <w:szCs w:val="24"/>
        </w:rPr>
        <w:t xml:space="preserve"> </w:t>
      </w:r>
      <w:r w:rsidR="00FD5A6A">
        <w:rPr>
          <w:rFonts w:ascii="Times New Roman" w:eastAsia="ArialMT" w:hAnsi="Times New Roman" w:cs="Times New Roman"/>
          <w:sz w:val="24"/>
          <w:szCs w:val="24"/>
        </w:rPr>
        <w:t xml:space="preserve">выше, чем катионитом </w:t>
      </w:r>
      <w:r w:rsidR="00FD5A6A" w:rsidRPr="00D215C8">
        <w:rPr>
          <w:rFonts w:ascii="Times New Roman" w:hAnsi="Times New Roman" w:cs="Times New Roman"/>
          <w:sz w:val="24"/>
          <w:szCs w:val="24"/>
        </w:rPr>
        <w:t>Токем-250</w:t>
      </w:r>
      <w:r w:rsidR="004603A7" w:rsidRPr="004603A7">
        <w:rPr>
          <w:rFonts w:ascii="Times New Roman" w:eastAsia="ArialMT" w:hAnsi="Times New Roman" w:cs="Times New Roman"/>
          <w:sz w:val="24"/>
          <w:szCs w:val="24"/>
        </w:rPr>
        <w:t xml:space="preserve"> </w:t>
      </w:r>
      <w:r w:rsidR="004603A7" w:rsidRPr="00D215C8">
        <w:rPr>
          <w:rFonts w:ascii="Times New Roman" w:eastAsia="ArialMT" w:hAnsi="Times New Roman" w:cs="Times New Roman"/>
          <w:sz w:val="24"/>
          <w:szCs w:val="24"/>
        </w:rPr>
        <w:t>гелевой структуры</w:t>
      </w:r>
      <w:r w:rsidR="00FD5A6A">
        <w:rPr>
          <w:rFonts w:ascii="Times New Roman" w:hAnsi="Times New Roman" w:cs="Times New Roman"/>
          <w:sz w:val="24"/>
          <w:szCs w:val="24"/>
        </w:rPr>
        <w:t>.</w:t>
      </w:r>
      <w:r w:rsidR="00FD5A6A" w:rsidRPr="00D215C8">
        <w:rPr>
          <w:rFonts w:ascii="Times New Roman" w:hAnsi="Times New Roman" w:cs="Times New Roman"/>
          <w:sz w:val="24"/>
          <w:szCs w:val="24"/>
        </w:rPr>
        <w:t xml:space="preserve"> </w:t>
      </w:r>
      <w:r w:rsidR="00D750B4" w:rsidRPr="00D215C8">
        <w:rPr>
          <w:rFonts w:ascii="Times New Roman" w:hAnsi="Times New Roman" w:cs="Times New Roman"/>
          <w:sz w:val="24"/>
          <w:szCs w:val="24"/>
        </w:rPr>
        <w:t>Значения коэффициентов распределения ионов</w:t>
      </w:r>
      <w:r w:rsidRPr="00D215C8">
        <w:rPr>
          <w:rFonts w:ascii="Times New Roman" w:hAnsi="Times New Roman" w:cs="Times New Roman"/>
          <w:bCs/>
          <w:sz w:val="24"/>
          <w:szCs w:val="24"/>
        </w:rPr>
        <w:t xml:space="preserve"> </w:t>
      </w:r>
      <w:r w:rsidR="00FD5A6A">
        <w:rPr>
          <w:rFonts w:ascii="Times New Roman" w:hAnsi="Times New Roman" w:cs="Times New Roman"/>
          <w:sz w:val="24"/>
          <w:szCs w:val="24"/>
        </w:rPr>
        <w:t>соответственно</w:t>
      </w:r>
      <w:r w:rsidRPr="00D215C8">
        <w:rPr>
          <w:rFonts w:ascii="Times New Roman" w:hAnsi="Times New Roman" w:cs="Times New Roman"/>
          <w:sz w:val="24"/>
          <w:szCs w:val="24"/>
        </w:rPr>
        <w:t xml:space="preserve"> </w:t>
      </w:r>
      <w:r w:rsidR="00D750B4" w:rsidRPr="00D215C8">
        <w:rPr>
          <w:rFonts w:ascii="Times New Roman" w:hAnsi="Times New Roman" w:cs="Times New Roman"/>
          <w:sz w:val="24"/>
          <w:szCs w:val="24"/>
        </w:rPr>
        <w:t>составляют ~ (3,4 – 1,7)∙10</w:t>
      </w:r>
      <w:r w:rsidR="00D750B4" w:rsidRPr="00D215C8">
        <w:rPr>
          <w:rFonts w:ascii="Times New Roman" w:hAnsi="Times New Roman" w:cs="Times New Roman"/>
          <w:sz w:val="24"/>
          <w:szCs w:val="24"/>
          <w:vertAlign w:val="superscript"/>
        </w:rPr>
        <w:t>3</w:t>
      </w:r>
      <w:r w:rsidR="004603A7">
        <w:rPr>
          <w:rFonts w:ascii="Times New Roman" w:hAnsi="Times New Roman" w:cs="Times New Roman"/>
          <w:sz w:val="24"/>
          <w:szCs w:val="24"/>
        </w:rPr>
        <w:t xml:space="preserve"> и </w:t>
      </w:r>
      <w:r w:rsidR="00D750B4" w:rsidRPr="00D215C8">
        <w:rPr>
          <w:rFonts w:ascii="Times New Roman" w:hAnsi="Times New Roman" w:cs="Times New Roman"/>
          <w:sz w:val="24"/>
          <w:szCs w:val="24"/>
        </w:rPr>
        <w:t xml:space="preserve"> ~ (2,02 – 0,61)∙10</w:t>
      </w:r>
      <w:r w:rsidR="00D750B4" w:rsidRPr="00D215C8">
        <w:rPr>
          <w:rFonts w:ascii="Times New Roman" w:hAnsi="Times New Roman" w:cs="Times New Roman"/>
          <w:sz w:val="24"/>
          <w:szCs w:val="24"/>
          <w:vertAlign w:val="superscript"/>
        </w:rPr>
        <w:t>3</w:t>
      </w:r>
      <w:r w:rsidR="00D750B4" w:rsidRPr="00D215C8">
        <w:rPr>
          <w:rFonts w:ascii="Times New Roman" w:hAnsi="Times New Roman" w:cs="Times New Roman"/>
          <w:sz w:val="24"/>
          <w:szCs w:val="24"/>
        </w:rPr>
        <w:t>.</w:t>
      </w:r>
      <w:r w:rsidR="00157F28">
        <w:rPr>
          <w:rFonts w:ascii="Times New Roman" w:hAnsi="Times New Roman" w:cs="Times New Roman"/>
          <w:sz w:val="24"/>
          <w:szCs w:val="24"/>
        </w:rPr>
        <w:t xml:space="preserve"> </w:t>
      </w:r>
    </w:p>
    <w:p w:rsidR="00EF787B" w:rsidRDefault="00157F28" w:rsidP="00185C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152622">
        <w:rPr>
          <w:rFonts w:ascii="Times New Roman" w:hAnsi="Times New Roman" w:cs="Times New Roman"/>
          <w:sz w:val="24"/>
          <w:szCs w:val="24"/>
        </w:rPr>
        <w:t xml:space="preserve">В динамических условиях при сорбции </w:t>
      </w:r>
      <w:r w:rsidR="00152622">
        <w:rPr>
          <w:rFonts w:ascii="Times New Roman" w:eastAsia="Calibri" w:hAnsi="Times New Roman" w:cs="Times New Roman"/>
          <w:sz w:val="24"/>
          <w:szCs w:val="24"/>
        </w:rPr>
        <w:t>марганца</w:t>
      </w:r>
      <w:r w:rsidR="00152622" w:rsidRPr="00D81910">
        <w:rPr>
          <w:rFonts w:ascii="Times New Roman" w:eastAsia="Calibri" w:hAnsi="Times New Roman" w:cs="Times New Roman"/>
          <w:sz w:val="24"/>
          <w:szCs w:val="24"/>
        </w:rPr>
        <w:t>(</w:t>
      </w:r>
      <w:r w:rsidR="00152622">
        <w:rPr>
          <w:rFonts w:ascii="Times New Roman" w:eastAsia="Calibri" w:hAnsi="Times New Roman" w:cs="Times New Roman"/>
          <w:sz w:val="24"/>
          <w:szCs w:val="24"/>
          <w:lang w:val="en-US"/>
        </w:rPr>
        <w:t>II</w:t>
      </w:r>
      <w:r w:rsidR="00152622" w:rsidRPr="00D81910">
        <w:rPr>
          <w:rFonts w:ascii="Times New Roman" w:eastAsia="Calibri" w:hAnsi="Times New Roman" w:cs="Times New Roman"/>
          <w:sz w:val="24"/>
          <w:szCs w:val="24"/>
        </w:rPr>
        <w:t>)</w:t>
      </w:r>
      <w:r w:rsidR="00152622" w:rsidRPr="00725B4B">
        <w:rPr>
          <w:rFonts w:ascii="Times New Roman" w:eastAsia="Calibri" w:hAnsi="Times New Roman" w:cs="Times New Roman"/>
          <w:sz w:val="24"/>
          <w:szCs w:val="24"/>
        </w:rPr>
        <w:t xml:space="preserve"> </w:t>
      </w:r>
      <w:r w:rsidR="00D81910">
        <w:rPr>
          <w:rFonts w:ascii="Times New Roman" w:hAnsi="Times New Roman" w:cs="Times New Roman"/>
          <w:sz w:val="24"/>
          <w:szCs w:val="24"/>
        </w:rPr>
        <w:t>катионит</w:t>
      </w:r>
      <w:r w:rsidR="00152622">
        <w:rPr>
          <w:rFonts w:ascii="Times New Roman" w:hAnsi="Times New Roman" w:cs="Times New Roman"/>
          <w:sz w:val="24"/>
          <w:szCs w:val="24"/>
        </w:rPr>
        <w:t>ом</w:t>
      </w:r>
      <w:r w:rsidR="00D81910">
        <w:rPr>
          <w:rFonts w:ascii="Times New Roman" w:hAnsi="Times New Roman" w:cs="Times New Roman"/>
          <w:sz w:val="24"/>
          <w:szCs w:val="24"/>
        </w:rPr>
        <w:t xml:space="preserve"> КБ-2Э-16 </w:t>
      </w:r>
      <w:r w:rsidR="00152622">
        <w:rPr>
          <w:rFonts w:ascii="Times New Roman" w:hAnsi="Times New Roman" w:cs="Times New Roman"/>
          <w:sz w:val="24"/>
          <w:szCs w:val="24"/>
        </w:rPr>
        <w:t xml:space="preserve">образуется </w:t>
      </w:r>
      <w:r w:rsidR="00D81910">
        <w:rPr>
          <w:rFonts w:ascii="Times New Roman" w:eastAsia="Calibri" w:hAnsi="Times New Roman" w:cs="Times New Roman"/>
          <w:sz w:val="24"/>
          <w:szCs w:val="24"/>
        </w:rPr>
        <w:t>более узкий хроматографический фронт</w:t>
      </w:r>
      <w:r>
        <w:rPr>
          <w:rFonts w:ascii="Times New Roman" w:eastAsia="Calibri" w:hAnsi="Times New Roman" w:cs="Times New Roman"/>
          <w:sz w:val="24"/>
          <w:szCs w:val="24"/>
        </w:rPr>
        <w:t xml:space="preserve"> </w:t>
      </w:r>
      <w:r w:rsidR="00D81910">
        <w:rPr>
          <w:rFonts w:ascii="Times New Roman" w:eastAsia="Calibri" w:hAnsi="Times New Roman" w:cs="Times New Roman"/>
          <w:sz w:val="24"/>
          <w:szCs w:val="24"/>
        </w:rPr>
        <w:t>ионов по сравнению с Токем-250</w:t>
      </w:r>
      <w:r w:rsidR="00152622">
        <w:rPr>
          <w:rFonts w:ascii="Times New Roman" w:eastAsia="Calibri" w:hAnsi="Times New Roman" w:cs="Times New Roman"/>
          <w:sz w:val="24"/>
          <w:szCs w:val="24"/>
        </w:rPr>
        <w:t xml:space="preserve">. Вероятно, пористая </w:t>
      </w:r>
      <w:proofErr w:type="spellStart"/>
      <w:r w:rsidR="00EF787B">
        <w:rPr>
          <w:rFonts w:ascii="Times New Roman" w:hAnsi="Times New Roman" w:cs="Times New Roman"/>
          <w:sz w:val="24"/>
          <w:szCs w:val="24"/>
        </w:rPr>
        <w:t>макросетчатая</w:t>
      </w:r>
      <w:proofErr w:type="spellEnd"/>
      <w:r w:rsidR="00EF787B">
        <w:rPr>
          <w:rFonts w:ascii="Times New Roman" w:hAnsi="Times New Roman" w:cs="Times New Roman"/>
          <w:sz w:val="24"/>
          <w:szCs w:val="24"/>
        </w:rPr>
        <w:t xml:space="preserve"> </w:t>
      </w:r>
      <w:r w:rsidR="00152622">
        <w:rPr>
          <w:rFonts w:ascii="Times New Roman" w:eastAsia="Calibri" w:hAnsi="Times New Roman" w:cs="Times New Roman"/>
          <w:sz w:val="24"/>
          <w:szCs w:val="24"/>
        </w:rPr>
        <w:t>структура</w:t>
      </w:r>
      <w:r w:rsidR="00152622" w:rsidRPr="00152622">
        <w:rPr>
          <w:rFonts w:ascii="Times New Roman" w:hAnsi="Times New Roman" w:cs="Times New Roman"/>
          <w:sz w:val="24"/>
          <w:szCs w:val="24"/>
        </w:rPr>
        <w:t xml:space="preserve"> </w:t>
      </w:r>
      <w:r w:rsidR="00EF787B">
        <w:rPr>
          <w:rFonts w:ascii="Times New Roman" w:hAnsi="Times New Roman" w:cs="Times New Roman"/>
          <w:sz w:val="24"/>
          <w:szCs w:val="24"/>
        </w:rPr>
        <w:t>способствует</w:t>
      </w:r>
      <w:r w:rsidR="00152622">
        <w:rPr>
          <w:rFonts w:ascii="Times New Roman" w:hAnsi="Times New Roman" w:cs="Times New Roman"/>
          <w:sz w:val="24"/>
          <w:szCs w:val="24"/>
        </w:rPr>
        <w:t xml:space="preserve"> высок</w:t>
      </w:r>
      <w:r w:rsidR="00EF787B">
        <w:rPr>
          <w:rFonts w:ascii="Times New Roman" w:hAnsi="Times New Roman" w:cs="Times New Roman"/>
          <w:sz w:val="24"/>
          <w:szCs w:val="24"/>
        </w:rPr>
        <w:t>ой</w:t>
      </w:r>
      <w:r w:rsidR="00152622">
        <w:rPr>
          <w:rFonts w:ascii="Times New Roman" w:hAnsi="Times New Roman" w:cs="Times New Roman"/>
          <w:sz w:val="24"/>
          <w:szCs w:val="24"/>
        </w:rPr>
        <w:t xml:space="preserve"> скорост</w:t>
      </w:r>
      <w:r w:rsidR="00EF787B">
        <w:rPr>
          <w:rFonts w:ascii="Times New Roman" w:hAnsi="Times New Roman" w:cs="Times New Roman"/>
          <w:sz w:val="24"/>
          <w:szCs w:val="24"/>
        </w:rPr>
        <w:t>и</w:t>
      </w:r>
      <w:r w:rsidR="00152622">
        <w:rPr>
          <w:rFonts w:ascii="Times New Roman" w:hAnsi="Times New Roman" w:cs="Times New Roman"/>
          <w:sz w:val="24"/>
          <w:szCs w:val="24"/>
        </w:rPr>
        <w:t xml:space="preserve"> диффуз</w:t>
      </w:r>
      <w:proofErr w:type="gramStart"/>
      <w:r w:rsidR="00152622">
        <w:rPr>
          <w:rFonts w:ascii="Times New Roman" w:hAnsi="Times New Roman" w:cs="Times New Roman"/>
          <w:sz w:val="24"/>
          <w:szCs w:val="24"/>
        </w:rPr>
        <w:t>ии ио</w:t>
      </w:r>
      <w:proofErr w:type="gramEnd"/>
      <w:r w:rsidR="00152622">
        <w:rPr>
          <w:rFonts w:ascii="Times New Roman" w:hAnsi="Times New Roman" w:cs="Times New Roman"/>
          <w:sz w:val="24"/>
          <w:szCs w:val="24"/>
        </w:rPr>
        <w:t>нов</w:t>
      </w:r>
      <w:r w:rsidR="00EF787B">
        <w:rPr>
          <w:rFonts w:ascii="Times New Roman" w:hAnsi="Times New Roman" w:cs="Times New Roman"/>
          <w:sz w:val="24"/>
          <w:szCs w:val="24"/>
        </w:rPr>
        <w:t xml:space="preserve"> в объем сорбента. </w:t>
      </w:r>
    </w:p>
    <w:p w:rsidR="00D215C8" w:rsidRPr="00EF787B" w:rsidRDefault="00EF787B" w:rsidP="00185C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53059F">
        <w:rPr>
          <w:rFonts w:ascii="Times New Roman" w:hAnsi="Times New Roman" w:cs="Times New Roman"/>
          <w:sz w:val="24"/>
          <w:szCs w:val="24"/>
        </w:rPr>
        <w:t xml:space="preserve">Разработана </w:t>
      </w:r>
      <w:proofErr w:type="gramStart"/>
      <w:r w:rsidR="0053059F">
        <w:rPr>
          <w:rFonts w:ascii="Times New Roman" w:hAnsi="Times New Roman" w:cs="Times New Roman"/>
          <w:sz w:val="24"/>
          <w:szCs w:val="24"/>
        </w:rPr>
        <w:t>тест-индикаторная</w:t>
      </w:r>
      <w:proofErr w:type="gramEnd"/>
      <w:r w:rsidR="0053059F">
        <w:rPr>
          <w:rFonts w:ascii="Times New Roman" w:hAnsi="Times New Roman" w:cs="Times New Roman"/>
          <w:sz w:val="24"/>
          <w:szCs w:val="24"/>
        </w:rPr>
        <w:t xml:space="preserve"> трубка для определения </w:t>
      </w:r>
      <w:r w:rsidR="0053059F" w:rsidRPr="00EF787B">
        <w:rPr>
          <w:rFonts w:ascii="Times New Roman" w:hAnsi="Times New Roman" w:cs="Times New Roman"/>
          <w:sz w:val="24"/>
          <w:szCs w:val="24"/>
        </w:rPr>
        <w:t>марганца(</w:t>
      </w:r>
      <w:r w:rsidR="0053059F" w:rsidRPr="00EF787B">
        <w:rPr>
          <w:rFonts w:ascii="Times New Roman" w:hAnsi="Times New Roman" w:cs="Times New Roman"/>
          <w:sz w:val="24"/>
          <w:szCs w:val="24"/>
          <w:lang w:val="en-US"/>
        </w:rPr>
        <w:t>II</w:t>
      </w:r>
      <w:r w:rsidR="0053059F" w:rsidRPr="00EF787B">
        <w:rPr>
          <w:rFonts w:ascii="Times New Roman" w:hAnsi="Times New Roman" w:cs="Times New Roman"/>
          <w:sz w:val="24"/>
          <w:szCs w:val="24"/>
        </w:rPr>
        <w:t xml:space="preserve">) </w:t>
      </w:r>
      <w:r w:rsidR="0006458E">
        <w:rPr>
          <w:rFonts w:ascii="Times New Roman" w:hAnsi="Times New Roman" w:cs="Times New Roman"/>
          <w:sz w:val="24"/>
          <w:szCs w:val="24"/>
        </w:rPr>
        <w:t xml:space="preserve">в растворе </w:t>
      </w:r>
      <w:r w:rsidR="0053059F">
        <w:rPr>
          <w:rFonts w:ascii="Times New Roman" w:hAnsi="Times New Roman" w:cs="Times New Roman"/>
          <w:sz w:val="24"/>
          <w:szCs w:val="24"/>
        </w:rPr>
        <w:t>н</w:t>
      </w:r>
      <w:r>
        <w:rPr>
          <w:rFonts w:ascii="Times New Roman" w:hAnsi="Times New Roman" w:cs="Times New Roman"/>
          <w:sz w:val="24"/>
          <w:szCs w:val="24"/>
        </w:rPr>
        <w:t xml:space="preserve">а основе макросетчатого карбоксильного катионита КБ-2Э-16 </w:t>
      </w:r>
      <w:r w:rsidRPr="00EF787B">
        <w:rPr>
          <w:rFonts w:ascii="Times New Roman" w:hAnsi="Times New Roman" w:cs="Times New Roman"/>
          <w:sz w:val="24"/>
          <w:szCs w:val="24"/>
        </w:rPr>
        <w:t xml:space="preserve">с </w:t>
      </w:r>
      <w:r w:rsidR="0053059F">
        <w:rPr>
          <w:rFonts w:ascii="Times New Roman" w:hAnsi="Times New Roman" w:cs="Times New Roman"/>
          <w:sz w:val="24"/>
          <w:szCs w:val="24"/>
        </w:rPr>
        <w:t xml:space="preserve">использованием </w:t>
      </w:r>
      <w:r w:rsidRPr="00EF787B">
        <w:rPr>
          <w:rFonts w:ascii="Times New Roman" w:hAnsi="Times New Roman" w:cs="Times New Roman"/>
          <w:sz w:val="24"/>
          <w:szCs w:val="24"/>
        </w:rPr>
        <w:t>реагент</w:t>
      </w:r>
      <w:r w:rsidR="0053059F">
        <w:rPr>
          <w:rFonts w:ascii="Times New Roman" w:hAnsi="Times New Roman" w:cs="Times New Roman"/>
          <w:sz w:val="24"/>
          <w:szCs w:val="24"/>
        </w:rPr>
        <w:t>а</w:t>
      </w:r>
      <w:r w:rsidRPr="00EF787B">
        <w:rPr>
          <w:rFonts w:ascii="Times New Roman" w:hAnsi="Times New Roman" w:cs="Times New Roman"/>
          <w:sz w:val="24"/>
          <w:szCs w:val="24"/>
        </w:rPr>
        <w:t xml:space="preserve"> </w:t>
      </w:r>
      <w:proofErr w:type="spellStart"/>
      <w:r w:rsidRPr="00EF787B">
        <w:rPr>
          <w:rFonts w:ascii="Times New Roman" w:hAnsi="Times New Roman" w:cs="Times New Roman"/>
          <w:sz w:val="24"/>
          <w:szCs w:val="24"/>
        </w:rPr>
        <w:t>формальдоксим</w:t>
      </w:r>
      <w:r w:rsidR="0053059F">
        <w:rPr>
          <w:rFonts w:ascii="Times New Roman" w:hAnsi="Times New Roman" w:cs="Times New Roman"/>
          <w:sz w:val="24"/>
          <w:szCs w:val="24"/>
        </w:rPr>
        <w:t>а</w:t>
      </w:r>
      <w:proofErr w:type="spellEnd"/>
      <w:r>
        <w:rPr>
          <w:rFonts w:ascii="Times New Roman" w:hAnsi="Times New Roman" w:cs="Times New Roman"/>
          <w:sz w:val="24"/>
          <w:szCs w:val="24"/>
        </w:rPr>
        <w:t>.</w:t>
      </w:r>
    </w:p>
    <w:p w:rsidR="000509BF" w:rsidRPr="005C00CD" w:rsidRDefault="000509BF" w:rsidP="008F2A17">
      <w:pPr>
        <w:spacing w:after="0" w:line="240" w:lineRule="auto"/>
        <w:jc w:val="center"/>
        <w:rPr>
          <w:rFonts w:ascii="Times New Roman" w:hAnsi="Times New Roman" w:cs="Times New Roman"/>
          <w:b/>
          <w:sz w:val="24"/>
          <w:szCs w:val="24"/>
        </w:rPr>
      </w:pPr>
      <w:r w:rsidRPr="005C00CD">
        <w:rPr>
          <w:rFonts w:ascii="Times New Roman" w:hAnsi="Times New Roman" w:cs="Times New Roman"/>
          <w:b/>
          <w:sz w:val="24"/>
          <w:szCs w:val="24"/>
        </w:rPr>
        <w:t>Литература</w:t>
      </w:r>
    </w:p>
    <w:p w:rsidR="008F2A17" w:rsidRDefault="008F2A17" w:rsidP="00CF08FF">
      <w:pPr>
        <w:spacing w:after="0" w:line="240" w:lineRule="auto"/>
        <w:jc w:val="both"/>
        <w:rPr>
          <w:rFonts w:ascii="Times New Roman" w:hAnsi="Times New Roman" w:cs="Times New Roman"/>
          <w:sz w:val="24"/>
          <w:szCs w:val="24"/>
        </w:rPr>
      </w:pPr>
    </w:p>
    <w:p w:rsidR="000509BF" w:rsidRPr="005123FB" w:rsidRDefault="005123FB" w:rsidP="000C2FDE">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0509BF" w:rsidRPr="005123FB">
        <w:rPr>
          <w:rFonts w:ascii="Times New Roman" w:hAnsi="Times New Roman" w:cs="Times New Roman"/>
          <w:sz w:val="24"/>
          <w:szCs w:val="24"/>
        </w:rPr>
        <w:t>Рихванов</w:t>
      </w:r>
      <w:proofErr w:type="spellEnd"/>
      <w:r w:rsidR="008F2A17" w:rsidRPr="005123FB">
        <w:rPr>
          <w:rFonts w:ascii="Times New Roman" w:hAnsi="Times New Roman" w:cs="Times New Roman"/>
          <w:sz w:val="24"/>
          <w:szCs w:val="24"/>
        </w:rPr>
        <w:t xml:space="preserve"> Л.П., Язиков Е.Г., Сухих Ю.И. и др. Эколого-геохимические особенности природных сред Томского района и заболеваемость населения.</w:t>
      </w:r>
      <w:r w:rsidR="00945817" w:rsidRPr="005123FB">
        <w:rPr>
          <w:rFonts w:ascii="Times New Roman" w:hAnsi="Times New Roman" w:cs="Times New Roman"/>
          <w:sz w:val="24"/>
          <w:szCs w:val="24"/>
        </w:rPr>
        <w:t xml:space="preserve"> Томск, 2006. </w:t>
      </w:r>
      <w:r w:rsidR="00945817" w:rsidRPr="005123FB">
        <w:rPr>
          <w:rFonts w:ascii="Times New Roman" w:hAnsi="Times New Roman" w:cs="Times New Roman"/>
          <w:sz w:val="24"/>
          <w:szCs w:val="24"/>
        </w:rPr>
        <w:noBreakHyphen/>
        <w:t>216 с.</w:t>
      </w:r>
    </w:p>
    <w:p w:rsidR="000C2FDE" w:rsidRPr="008339BF" w:rsidRDefault="005123FB" w:rsidP="005123F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0C2FDE">
        <w:rPr>
          <w:rFonts w:ascii="Times New Roman" w:hAnsi="Times New Roman" w:cs="Times New Roman"/>
          <w:sz w:val="24"/>
          <w:szCs w:val="24"/>
        </w:rPr>
        <w:t>Марченко З. Методы спектрофотометрии в УФ и видимой областях в неорганическом анализе</w:t>
      </w:r>
      <w:r w:rsidR="00D85E4A">
        <w:rPr>
          <w:rFonts w:ascii="Times New Roman" w:hAnsi="Times New Roman" w:cs="Times New Roman"/>
          <w:sz w:val="24"/>
          <w:szCs w:val="24"/>
        </w:rPr>
        <w:t>.</w:t>
      </w:r>
      <w:proofErr w:type="gramEnd"/>
      <w:r w:rsidR="000C2FDE">
        <w:rPr>
          <w:rFonts w:ascii="Times New Roman" w:hAnsi="Times New Roman" w:cs="Times New Roman"/>
          <w:sz w:val="24"/>
          <w:szCs w:val="24"/>
        </w:rPr>
        <w:t xml:space="preserve"> / З. </w:t>
      </w:r>
      <w:r w:rsidR="000509BF" w:rsidRPr="005123FB">
        <w:rPr>
          <w:rFonts w:ascii="Times New Roman" w:hAnsi="Times New Roman" w:cs="Times New Roman"/>
          <w:sz w:val="24"/>
          <w:szCs w:val="24"/>
        </w:rPr>
        <w:t>Марченко</w:t>
      </w:r>
      <w:r w:rsidR="000C2FDE">
        <w:rPr>
          <w:rFonts w:ascii="Times New Roman" w:hAnsi="Times New Roman" w:cs="Times New Roman"/>
          <w:sz w:val="24"/>
          <w:szCs w:val="24"/>
        </w:rPr>
        <w:t xml:space="preserve">, М. </w:t>
      </w:r>
      <w:proofErr w:type="spellStart"/>
      <w:r w:rsidR="000C2FDE">
        <w:rPr>
          <w:rFonts w:ascii="Times New Roman" w:hAnsi="Times New Roman" w:cs="Times New Roman"/>
          <w:sz w:val="24"/>
          <w:szCs w:val="24"/>
        </w:rPr>
        <w:t>Бальцежак</w:t>
      </w:r>
      <w:proofErr w:type="spellEnd"/>
      <w:r w:rsidR="000C2FDE">
        <w:rPr>
          <w:rFonts w:ascii="Times New Roman" w:hAnsi="Times New Roman" w:cs="Times New Roman"/>
          <w:sz w:val="24"/>
          <w:szCs w:val="24"/>
        </w:rPr>
        <w:t>. М.: БИНОМ, Лаборатория знаний, 2009. – 711 с.</w:t>
      </w:r>
    </w:p>
    <w:p w:rsidR="00BF00CB" w:rsidRPr="00BF00CB" w:rsidRDefault="00BF00CB" w:rsidP="005123FB">
      <w:pPr>
        <w:spacing w:after="0" w:line="240" w:lineRule="auto"/>
        <w:ind w:left="360"/>
        <w:jc w:val="both"/>
        <w:rPr>
          <w:rFonts w:ascii="Times New Roman" w:hAnsi="Times New Roman" w:cs="Times New Roman"/>
          <w:color w:val="000000" w:themeColor="text1"/>
          <w:sz w:val="24"/>
          <w:szCs w:val="24"/>
          <w:shd w:val="clear" w:color="auto" w:fill="FFFFFF"/>
        </w:rPr>
      </w:pPr>
      <w:r w:rsidRPr="00BF00CB">
        <w:rPr>
          <w:rFonts w:ascii="Times New Roman" w:hAnsi="Times New Roman" w:cs="Times New Roman"/>
          <w:sz w:val="24"/>
          <w:szCs w:val="24"/>
        </w:rPr>
        <w:t xml:space="preserve">3. </w:t>
      </w:r>
      <w:r w:rsidRPr="00BF00CB">
        <w:rPr>
          <w:rFonts w:ascii="Times New Roman" w:hAnsi="Times New Roman" w:cs="Times New Roman"/>
          <w:color w:val="000000" w:themeColor="text1"/>
          <w:sz w:val="24"/>
          <w:szCs w:val="24"/>
          <w:shd w:val="clear" w:color="auto" w:fill="FFFFFF"/>
        </w:rPr>
        <w:t xml:space="preserve">Лаврухина А.К., </w:t>
      </w:r>
      <w:proofErr w:type="spellStart"/>
      <w:r w:rsidRPr="00BF00CB">
        <w:rPr>
          <w:rFonts w:ascii="Times New Roman" w:hAnsi="Times New Roman" w:cs="Times New Roman"/>
          <w:color w:val="000000" w:themeColor="text1"/>
          <w:sz w:val="24"/>
          <w:szCs w:val="24"/>
          <w:shd w:val="clear" w:color="auto" w:fill="FFFFFF"/>
        </w:rPr>
        <w:t>Юкина</w:t>
      </w:r>
      <w:proofErr w:type="spellEnd"/>
      <w:r w:rsidRPr="00BF00CB">
        <w:rPr>
          <w:rFonts w:ascii="Times New Roman" w:hAnsi="Times New Roman" w:cs="Times New Roman"/>
          <w:color w:val="000000" w:themeColor="text1"/>
          <w:sz w:val="24"/>
          <w:szCs w:val="24"/>
          <w:shd w:val="clear" w:color="auto" w:fill="FFFFFF"/>
        </w:rPr>
        <w:t xml:space="preserve"> Л.В. Аналитическая химия марганца. – М.: Наука, 1974. – 218 с</w:t>
      </w:r>
      <w:r w:rsidR="00070E8A">
        <w:rPr>
          <w:rFonts w:ascii="Times New Roman" w:hAnsi="Times New Roman" w:cs="Times New Roman"/>
          <w:color w:val="000000" w:themeColor="text1"/>
          <w:sz w:val="24"/>
          <w:szCs w:val="24"/>
          <w:shd w:val="clear" w:color="auto" w:fill="FFFFFF"/>
        </w:rPr>
        <w:t>.</w:t>
      </w:r>
    </w:p>
    <w:p w:rsidR="00BF00CB" w:rsidRDefault="00BF00CB" w:rsidP="00BF00C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5123FB">
        <w:rPr>
          <w:rFonts w:ascii="Times New Roman" w:hAnsi="Times New Roman" w:cs="Times New Roman"/>
          <w:sz w:val="24"/>
          <w:szCs w:val="24"/>
        </w:rPr>
        <w:t xml:space="preserve">. </w:t>
      </w:r>
      <w:r w:rsidR="007636C9">
        <w:rPr>
          <w:rFonts w:ascii="Times New Roman" w:hAnsi="Times New Roman" w:cs="Times New Roman"/>
          <w:sz w:val="24"/>
          <w:szCs w:val="24"/>
        </w:rPr>
        <w:t>Жаркова В.В., Бобкова Л.А., Козик В.В. Выбор карбоксильного катионита для динамического концентрирования и определения ионов кобальта</w:t>
      </w:r>
      <w:r w:rsidR="007636C9" w:rsidRPr="007636C9">
        <w:rPr>
          <w:rFonts w:ascii="Times New Roman" w:hAnsi="Times New Roman" w:cs="Times New Roman"/>
          <w:sz w:val="24"/>
          <w:szCs w:val="24"/>
        </w:rPr>
        <w:t>(</w:t>
      </w:r>
      <w:r w:rsidR="007636C9">
        <w:rPr>
          <w:rFonts w:ascii="Times New Roman" w:hAnsi="Times New Roman" w:cs="Times New Roman"/>
          <w:sz w:val="24"/>
          <w:szCs w:val="24"/>
          <w:lang w:val="en-US"/>
        </w:rPr>
        <w:t>II</w:t>
      </w:r>
      <w:r w:rsidR="007636C9" w:rsidRPr="007636C9">
        <w:rPr>
          <w:rFonts w:ascii="Times New Roman" w:hAnsi="Times New Roman" w:cs="Times New Roman"/>
          <w:sz w:val="24"/>
          <w:szCs w:val="24"/>
        </w:rPr>
        <w:t>)</w:t>
      </w:r>
      <w:r w:rsidR="007636C9">
        <w:rPr>
          <w:rFonts w:ascii="Times New Roman" w:hAnsi="Times New Roman" w:cs="Times New Roman"/>
          <w:sz w:val="24"/>
          <w:szCs w:val="24"/>
        </w:rPr>
        <w:t xml:space="preserve"> и меди</w:t>
      </w:r>
      <w:r w:rsidR="007636C9" w:rsidRPr="007636C9">
        <w:rPr>
          <w:rFonts w:ascii="Times New Roman" w:hAnsi="Times New Roman" w:cs="Times New Roman"/>
          <w:sz w:val="24"/>
          <w:szCs w:val="24"/>
        </w:rPr>
        <w:t>(</w:t>
      </w:r>
      <w:r w:rsidR="007636C9">
        <w:rPr>
          <w:rFonts w:ascii="Times New Roman" w:hAnsi="Times New Roman" w:cs="Times New Roman"/>
          <w:sz w:val="24"/>
          <w:szCs w:val="24"/>
          <w:lang w:val="en-US"/>
        </w:rPr>
        <w:t>II</w:t>
      </w:r>
      <w:r w:rsidR="007636C9" w:rsidRPr="007636C9">
        <w:rPr>
          <w:rFonts w:ascii="Times New Roman" w:hAnsi="Times New Roman" w:cs="Times New Roman"/>
          <w:sz w:val="24"/>
          <w:szCs w:val="24"/>
        </w:rPr>
        <w:t xml:space="preserve">) </w:t>
      </w:r>
      <w:r w:rsidR="007636C9">
        <w:rPr>
          <w:rFonts w:ascii="Times New Roman" w:hAnsi="Times New Roman" w:cs="Times New Roman"/>
          <w:sz w:val="24"/>
          <w:szCs w:val="24"/>
        </w:rPr>
        <w:t xml:space="preserve">в растворах. – Материалы </w:t>
      </w:r>
      <w:proofErr w:type="spellStart"/>
      <w:r w:rsidR="007636C9">
        <w:rPr>
          <w:rFonts w:ascii="Times New Roman" w:hAnsi="Times New Roman" w:cs="Times New Roman"/>
          <w:sz w:val="24"/>
          <w:szCs w:val="24"/>
        </w:rPr>
        <w:t>международ</w:t>
      </w:r>
      <w:proofErr w:type="spellEnd"/>
      <w:r w:rsidR="007636C9">
        <w:rPr>
          <w:rFonts w:ascii="Times New Roman" w:hAnsi="Times New Roman" w:cs="Times New Roman"/>
          <w:sz w:val="24"/>
          <w:szCs w:val="24"/>
        </w:rPr>
        <w:t xml:space="preserve">. </w:t>
      </w:r>
      <w:proofErr w:type="spellStart"/>
      <w:r w:rsidR="007636C9">
        <w:rPr>
          <w:rFonts w:ascii="Times New Roman" w:hAnsi="Times New Roman" w:cs="Times New Roman"/>
          <w:sz w:val="24"/>
          <w:szCs w:val="24"/>
        </w:rPr>
        <w:t>конф</w:t>
      </w:r>
      <w:proofErr w:type="spellEnd"/>
      <w:r w:rsidR="007636C9">
        <w:rPr>
          <w:rFonts w:ascii="Times New Roman" w:hAnsi="Times New Roman" w:cs="Times New Roman"/>
          <w:sz w:val="24"/>
          <w:szCs w:val="24"/>
        </w:rPr>
        <w:t>. «Теоретические и практические аспекты сорбционных и мембранных технологий». Кемерово, 2015. – С. 143-145.</w:t>
      </w:r>
    </w:p>
    <w:p w:rsidR="00070E8A" w:rsidRDefault="00BF00CB" w:rsidP="00070E8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BF00CB">
        <w:rPr>
          <w:rFonts w:ascii="Times New Roman" w:hAnsi="Times New Roman" w:cs="Times New Roman"/>
          <w:sz w:val="24"/>
          <w:szCs w:val="24"/>
        </w:rPr>
        <w:t>Бобкова</w:t>
      </w:r>
      <w:proofErr w:type="spellEnd"/>
      <w:r w:rsidRPr="00BF00CB">
        <w:rPr>
          <w:rFonts w:ascii="Times New Roman" w:hAnsi="Times New Roman" w:cs="Times New Roman"/>
          <w:sz w:val="24"/>
          <w:szCs w:val="24"/>
        </w:rPr>
        <w:t xml:space="preserve"> Л.А., </w:t>
      </w:r>
      <w:proofErr w:type="spellStart"/>
      <w:r w:rsidRPr="00BF00CB">
        <w:rPr>
          <w:rFonts w:ascii="Times New Roman" w:hAnsi="Times New Roman" w:cs="Times New Roman"/>
          <w:sz w:val="24"/>
          <w:szCs w:val="24"/>
        </w:rPr>
        <w:t>Козик</w:t>
      </w:r>
      <w:proofErr w:type="spellEnd"/>
      <w:r w:rsidRPr="00BF00CB">
        <w:rPr>
          <w:rFonts w:ascii="Times New Roman" w:hAnsi="Times New Roman" w:cs="Times New Roman"/>
          <w:sz w:val="24"/>
          <w:szCs w:val="24"/>
        </w:rPr>
        <w:t xml:space="preserve"> В.В., Петрова В.В., </w:t>
      </w:r>
      <w:proofErr w:type="spellStart"/>
      <w:r w:rsidRPr="00BF00CB">
        <w:rPr>
          <w:rFonts w:ascii="Times New Roman" w:hAnsi="Times New Roman" w:cs="Times New Roman"/>
          <w:sz w:val="24"/>
          <w:szCs w:val="24"/>
        </w:rPr>
        <w:t>Односторонцева</w:t>
      </w:r>
      <w:proofErr w:type="spellEnd"/>
      <w:r w:rsidRPr="00BF00CB">
        <w:rPr>
          <w:rFonts w:ascii="Times New Roman" w:hAnsi="Times New Roman" w:cs="Times New Roman"/>
          <w:sz w:val="24"/>
          <w:szCs w:val="24"/>
        </w:rPr>
        <w:t xml:space="preserve"> Т.В. Избирательность сорбц</w:t>
      </w:r>
      <w:proofErr w:type="gramStart"/>
      <w:r w:rsidRPr="00BF00CB">
        <w:rPr>
          <w:rFonts w:ascii="Times New Roman" w:hAnsi="Times New Roman" w:cs="Times New Roman"/>
          <w:sz w:val="24"/>
          <w:szCs w:val="24"/>
        </w:rPr>
        <w:t>ии ио</w:t>
      </w:r>
      <w:proofErr w:type="gramEnd"/>
      <w:r w:rsidRPr="00BF00CB">
        <w:rPr>
          <w:rFonts w:ascii="Times New Roman" w:hAnsi="Times New Roman" w:cs="Times New Roman"/>
          <w:sz w:val="24"/>
          <w:szCs w:val="24"/>
        </w:rPr>
        <w:t>нов кобальта(</w:t>
      </w:r>
      <w:r w:rsidRPr="00BF00CB">
        <w:rPr>
          <w:rFonts w:ascii="Times New Roman" w:hAnsi="Times New Roman" w:cs="Times New Roman"/>
          <w:sz w:val="24"/>
          <w:szCs w:val="24"/>
          <w:lang w:val="en-US"/>
        </w:rPr>
        <w:t>II</w:t>
      </w:r>
      <w:r w:rsidRPr="00BF00CB">
        <w:rPr>
          <w:rFonts w:ascii="Times New Roman" w:hAnsi="Times New Roman" w:cs="Times New Roman"/>
          <w:sz w:val="24"/>
          <w:szCs w:val="24"/>
        </w:rPr>
        <w:t>), никеля(</w:t>
      </w:r>
      <w:r w:rsidRPr="00BF00CB">
        <w:rPr>
          <w:rFonts w:ascii="Times New Roman" w:hAnsi="Times New Roman" w:cs="Times New Roman"/>
          <w:sz w:val="24"/>
          <w:szCs w:val="24"/>
          <w:lang w:val="en-US"/>
        </w:rPr>
        <w:t>II</w:t>
      </w:r>
      <w:r w:rsidRPr="00BF00CB">
        <w:rPr>
          <w:rFonts w:ascii="Times New Roman" w:hAnsi="Times New Roman" w:cs="Times New Roman"/>
          <w:sz w:val="24"/>
          <w:szCs w:val="24"/>
        </w:rPr>
        <w:t>), меди(</w:t>
      </w:r>
      <w:r w:rsidRPr="00BF00CB">
        <w:rPr>
          <w:rFonts w:ascii="Times New Roman" w:hAnsi="Times New Roman" w:cs="Times New Roman"/>
          <w:sz w:val="24"/>
          <w:szCs w:val="24"/>
          <w:lang w:val="en-US"/>
        </w:rPr>
        <w:t>II</w:t>
      </w:r>
      <w:r w:rsidRPr="00BF00CB">
        <w:rPr>
          <w:rFonts w:ascii="Times New Roman" w:hAnsi="Times New Roman" w:cs="Times New Roman"/>
          <w:sz w:val="24"/>
          <w:szCs w:val="24"/>
        </w:rPr>
        <w:t xml:space="preserve">) </w:t>
      </w:r>
      <w:proofErr w:type="spellStart"/>
      <w:r w:rsidRPr="00BF00CB">
        <w:rPr>
          <w:rFonts w:ascii="Times New Roman" w:hAnsi="Times New Roman" w:cs="Times New Roman"/>
          <w:sz w:val="24"/>
          <w:szCs w:val="24"/>
        </w:rPr>
        <w:t>макросетчатым</w:t>
      </w:r>
      <w:proofErr w:type="spellEnd"/>
      <w:r w:rsidRPr="00BF00CB">
        <w:rPr>
          <w:rFonts w:ascii="Times New Roman" w:hAnsi="Times New Roman" w:cs="Times New Roman"/>
          <w:sz w:val="24"/>
          <w:szCs w:val="24"/>
        </w:rPr>
        <w:t xml:space="preserve"> карбоксильным катионитом КБ-2Э из водно-солевых растворов щелочных металлов. // Журнал прикладной химии. – 2012.</w:t>
      </w:r>
      <w:r w:rsidRPr="00BF00CB">
        <w:rPr>
          <w:rFonts w:ascii="Times New Roman" w:hAnsi="Times New Roman" w:cs="Times New Roman"/>
          <w:sz w:val="24"/>
          <w:szCs w:val="24"/>
        </w:rPr>
        <w:noBreakHyphen/>
        <w:t xml:space="preserve"> Т. 85., </w:t>
      </w:r>
      <w:proofErr w:type="spellStart"/>
      <w:r w:rsidRPr="00BF00CB">
        <w:rPr>
          <w:rFonts w:ascii="Times New Roman" w:hAnsi="Times New Roman" w:cs="Times New Roman"/>
          <w:sz w:val="24"/>
          <w:szCs w:val="24"/>
        </w:rPr>
        <w:t>вып</w:t>
      </w:r>
      <w:proofErr w:type="spellEnd"/>
      <w:r w:rsidRPr="00BF00CB">
        <w:rPr>
          <w:rFonts w:ascii="Times New Roman" w:hAnsi="Times New Roman" w:cs="Times New Roman"/>
          <w:sz w:val="24"/>
          <w:szCs w:val="24"/>
        </w:rPr>
        <w:t>. 7. – С. 1084-1085.</w:t>
      </w:r>
    </w:p>
    <w:p w:rsidR="00BF00CB" w:rsidRPr="00EB768F" w:rsidRDefault="00BF00CB" w:rsidP="00EB768F">
      <w:pPr>
        <w:spacing w:after="0" w:line="240" w:lineRule="auto"/>
        <w:ind w:left="360"/>
        <w:jc w:val="both"/>
        <w:rPr>
          <w:rFonts w:ascii="Times New Roman" w:hAnsi="Times New Roman" w:cs="Times New Roman"/>
          <w:sz w:val="24"/>
          <w:szCs w:val="24"/>
        </w:rPr>
      </w:pPr>
      <w:r w:rsidRPr="00EB768F">
        <w:rPr>
          <w:rFonts w:ascii="Times New Roman" w:hAnsi="Times New Roman" w:cs="Times New Roman"/>
          <w:sz w:val="24"/>
          <w:szCs w:val="24"/>
        </w:rPr>
        <w:t xml:space="preserve">6. </w:t>
      </w:r>
      <w:r w:rsidR="00070E8A" w:rsidRPr="00EB768F">
        <w:rPr>
          <w:rFonts w:ascii="Times New Roman" w:hAnsi="Times New Roman" w:cs="Times New Roman"/>
          <w:color w:val="000000" w:themeColor="text1"/>
          <w:sz w:val="24"/>
          <w:szCs w:val="24"/>
        </w:rPr>
        <w:t xml:space="preserve">Пат. </w:t>
      </w:r>
      <w:r w:rsidR="00EB768F" w:rsidRPr="00EB768F">
        <w:rPr>
          <w:rFonts w:ascii="Times New Roman" w:hAnsi="Times New Roman" w:cs="Times New Roman"/>
          <w:color w:val="252525"/>
          <w:sz w:val="24"/>
          <w:szCs w:val="24"/>
          <w:shd w:val="clear" w:color="auto" w:fill="FFFFFF"/>
        </w:rPr>
        <w:t>2262102</w:t>
      </w:r>
      <w:r w:rsidR="00070E8A" w:rsidRPr="00EB768F">
        <w:rPr>
          <w:rFonts w:ascii="Times New Roman" w:hAnsi="Times New Roman" w:cs="Times New Roman"/>
          <w:color w:val="000000" w:themeColor="text1"/>
          <w:sz w:val="24"/>
          <w:szCs w:val="24"/>
        </w:rPr>
        <w:t xml:space="preserve"> Российская Федерация, </w:t>
      </w:r>
      <w:r w:rsidR="00070E8A" w:rsidRPr="00EB768F">
        <w:rPr>
          <w:rFonts w:ascii="Times New Roman" w:hAnsi="Times New Roman" w:cs="Times New Roman"/>
          <w:bCs/>
          <w:color w:val="000000" w:themeColor="text1"/>
          <w:sz w:val="24"/>
          <w:szCs w:val="24"/>
        </w:rPr>
        <w:t xml:space="preserve">G01N31/22. </w:t>
      </w:r>
      <w:r w:rsidR="00EB768F" w:rsidRPr="00EB768F">
        <w:rPr>
          <w:rFonts w:ascii="Times New Roman" w:eastAsia="Times New Roman" w:hAnsi="Times New Roman" w:cs="Times New Roman"/>
          <w:bCs/>
          <w:sz w:val="24"/>
          <w:szCs w:val="24"/>
          <w:lang w:eastAsia="ru-RU"/>
        </w:rPr>
        <w:t>Индикаторный состав для определения марганца(</w:t>
      </w:r>
      <w:r w:rsidR="00EB768F" w:rsidRPr="00EB768F">
        <w:rPr>
          <w:rFonts w:ascii="Times New Roman" w:eastAsia="Times New Roman" w:hAnsi="Times New Roman" w:cs="Times New Roman"/>
          <w:bCs/>
          <w:sz w:val="24"/>
          <w:szCs w:val="24"/>
          <w:lang w:val="en-US" w:eastAsia="ru-RU"/>
        </w:rPr>
        <w:t>II</w:t>
      </w:r>
      <w:r w:rsidR="00EB768F" w:rsidRPr="00EB768F">
        <w:rPr>
          <w:rFonts w:ascii="Times New Roman" w:eastAsia="Times New Roman" w:hAnsi="Times New Roman" w:cs="Times New Roman"/>
          <w:bCs/>
          <w:sz w:val="24"/>
          <w:szCs w:val="24"/>
          <w:lang w:eastAsia="ru-RU"/>
        </w:rPr>
        <w:t>) в водных растворах</w:t>
      </w:r>
      <w:r w:rsidR="00EB768F" w:rsidRPr="00EB768F">
        <w:rPr>
          <w:rFonts w:ascii="Times New Roman" w:hAnsi="Times New Roman" w:cs="Times New Roman"/>
          <w:color w:val="000000" w:themeColor="text1"/>
          <w:sz w:val="24"/>
          <w:szCs w:val="24"/>
          <w:lang w:eastAsia="ru-RU"/>
        </w:rPr>
        <w:t xml:space="preserve"> </w:t>
      </w:r>
      <w:r w:rsidR="00070E8A" w:rsidRPr="00EB768F">
        <w:rPr>
          <w:rFonts w:ascii="Times New Roman" w:hAnsi="Times New Roman" w:cs="Times New Roman"/>
          <w:color w:val="000000" w:themeColor="text1"/>
          <w:sz w:val="24"/>
          <w:szCs w:val="24"/>
          <w:lang w:eastAsia="ru-RU"/>
        </w:rPr>
        <w:t xml:space="preserve">/ </w:t>
      </w:r>
      <w:r w:rsidR="00EB768F" w:rsidRPr="00EB768F">
        <w:rPr>
          <w:rFonts w:ascii="Times New Roman" w:hAnsi="Times New Roman" w:cs="Times New Roman"/>
          <w:color w:val="000000" w:themeColor="text1"/>
          <w:sz w:val="24"/>
          <w:szCs w:val="24"/>
          <w:lang w:eastAsia="ru-RU"/>
        </w:rPr>
        <w:t>О.</w:t>
      </w:r>
      <w:r w:rsidR="00070E8A" w:rsidRPr="00EB768F">
        <w:rPr>
          <w:rFonts w:ascii="Times New Roman" w:hAnsi="Times New Roman" w:cs="Times New Roman"/>
          <w:color w:val="000000" w:themeColor="text1"/>
          <w:sz w:val="24"/>
          <w:szCs w:val="24"/>
          <w:lang w:eastAsia="ru-RU"/>
        </w:rPr>
        <w:t xml:space="preserve">Н. Кононова, </w:t>
      </w:r>
      <w:r w:rsidR="00EB768F" w:rsidRPr="00EB768F">
        <w:rPr>
          <w:rFonts w:ascii="Times New Roman" w:hAnsi="Times New Roman" w:cs="Times New Roman"/>
          <w:color w:val="000000" w:themeColor="text1"/>
          <w:sz w:val="24"/>
          <w:szCs w:val="24"/>
          <w:lang w:eastAsia="ru-RU"/>
        </w:rPr>
        <w:t xml:space="preserve">Н.В. Федорова, А.Н. Лукьянов, </w:t>
      </w:r>
      <w:r w:rsidR="00070E8A" w:rsidRPr="00EB768F">
        <w:rPr>
          <w:rFonts w:ascii="Times New Roman" w:hAnsi="Times New Roman" w:cs="Times New Roman"/>
          <w:color w:val="000000" w:themeColor="text1"/>
          <w:sz w:val="24"/>
          <w:szCs w:val="24"/>
          <w:lang w:eastAsia="ru-RU"/>
        </w:rPr>
        <w:t xml:space="preserve">С.В. Качин, А.Г. Холмогоров (РФ); </w:t>
      </w:r>
      <w:r w:rsidR="00070E8A" w:rsidRPr="00EB768F">
        <w:rPr>
          <w:rFonts w:ascii="Times New Roman" w:hAnsi="Times New Roman" w:cs="Times New Roman"/>
          <w:color w:val="000000" w:themeColor="text1"/>
          <w:sz w:val="24"/>
          <w:szCs w:val="24"/>
        </w:rPr>
        <w:t xml:space="preserve">заявитель и патентообладатель </w:t>
      </w:r>
      <w:r w:rsidR="00070E8A" w:rsidRPr="00EB768F">
        <w:rPr>
          <w:rFonts w:ascii="Times New Roman" w:hAnsi="Times New Roman" w:cs="Times New Roman"/>
          <w:color w:val="000000" w:themeColor="text1"/>
          <w:sz w:val="24"/>
          <w:szCs w:val="24"/>
          <w:lang w:eastAsia="ru-RU"/>
        </w:rPr>
        <w:t>Красноярский государственный университет</w:t>
      </w:r>
      <w:proofErr w:type="gramStart"/>
      <w:r w:rsidR="00070E8A" w:rsidRPr="00EB768F">
        <w:rPr>
          <w:rFonts w:ascii="Times New Roman" w:hAnsi="Times New Roman" w:cs="Times New Roman"/>
          <w:color w:val="000000" w:themeColor="text1"/>
          <w:sz w:val="24"/>
          <w:szCs w:val="24"/>
          <w:lang w:eastAsia="ru-RU"/>
        </w:rPr>
        <w:t>.</w:t>
      </w:r>
      <w:proofErr w:type="gramEnd"/>
      <w:r w:rsidR="00070E8A" w:rsidRPr="00EB768F">
        <w:rPr>
          <w:rFonts w:ascii="Times New Roman" w:hAnsi="Times New Roman" w:cs="Times New Roman"/>
          <w:color w:val="000000" w:themeColor="text1"/>
          <w:sz w:val="24"/>
          <w:szCs w:val="24"/>
          <w:lang w:eastAsia="ru-RU"/>
        </w:rPr>
        <w:t xml:space="preserve"> </w:t>
      </w:r>
      <w:r w:rsidR="00070E8A" w:rsidRPr="00EB768F">
        <w:rPr>
          <w:rFonts w:ascii="Times New Roman" w:hAnsi="Times New Roman" w:cs="Times New Roman"/>
          <w:color w:val="000000" w:themeColor="text1"/>
          <w:sz w:val="24"/>
          <w:szCs w:val="24"/>
        </w:rPr>
        <w:t xml:space="preserve">– </w:t>
      </w:r>
      <w:proofErr w:type="spellStart"/>
      <w:proofErr w:type="gramStart"/>
      <w:r w:rsidR="00070E8A" w:rsidRPr="00EB768F">
        <w:rPr>
          <w:rFonts w:ascii="Times New Roman" w:hAnsi="Times New Roman" w:cs="Times New Roman"/>
          <w:color w:val="000000" w:themeColor="text1"/>
          <w:sz w:val="24"/>
          <w:szCs w:val="24"/>
        </w:rPr>
        <w:t>о</w:t>
      </w:r>
      <w:proofErr w:type="gramEnd"/>
      <w:r w:rsidR="00070E8A" w:rsidRPr="00EB768F">
        <w:rPr>
          <w:rFonts w:ascii="Times New Roman" w:hAnsi="Times New Roman" w:cs="Times New Roman"/>
          <w:color w:val="000000" w:themeColor="text1"/>
          <w:sz w:val="24"/>
          <w:szCs w:val="24"/>
        </w:rPr>
        <w:t>публ</w:t>
      </w:r>
      <w:proofErr w:type="spellEnd"/>
      <w:r w:rsidR="00070E8A" w:rsidRPr="00EB768F">
        <w:rPr>
          <w:rFonts w:ascii="Times New Roman" w:hAnsi="Times New Roman" w:cs="Times New Roman"/>
          <w:color w:val="000000" w:themeColor="text1"/>
          <w:sz w:val="24"/>
          <w:szCs w:val="24"/>
        </w:rPr>
        <w:t xml:space="preserve">. </w:t>
      </w:r>
      <w:r w:rsidR="00070E8A" w:rsidRPr="00EB768F">
        <w:rPr>
          <w:rFonts w:ascii="Times New Roman" w:hAnsi="Times New Roman" w:cs="Times New Roman"/>
          <w:color w:val="000000" w:themeColor="text1"/>
          <w:sz w:val="24"/>
          <w:szCs w:val="24"/>
          <w:lang w:eastAsia="ru-RU"/>
        </w:rPr>
        <w:t xml:space="preserve"> </w:t>
      </w:r>
      <w:r w:rsidR="00EB768F" w:rsidRPr="00EB768F">
        <w:rPr>
          <w:rFonts w:ascii="Times New Roman" w:hAnsi="Times New Roman" w:cs="Times New Roman"/>
          <w:sz w:val="24"/>
          <w:szCs w:val="24"/>
        </w:rPr>
        <w:t>10.10.2005</w:t>
      </w:r>
      <w:r w:rsidR="00070E8A" w:rsidRPr="00EB768F">
        <w:rPr>
          <w:rFonts w:ascii="Times New Roman" w:hAnsi="Times New Roman" w:cs="Times New Roman"/>
          <w:color w:val="000000" w:themeColor="text1"/>
          <w:sz w:val="24"/>
          <w:szCs w:val="24"/>
          <w:lang w:eastAsia="ru-RU"/>
        </w:rPr>
        <w:t>.</w:t>
      </w:r>
    </w:p>
    <w:p w:rsidR="00BF00CB" w:rsidRPr="00BF00CB" w:rsidRDefault="00BF00CB" w:rsidP="00BF00C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Pr="00505412">
        <w:rPr>
          <w:rFonts w:ascii="Times New Roman" w:hAnsi="Times New Roman"/>
          <w:sz w:val="24"/>
          <w:szCs w:val="24"/>
        </w:rPr>
        <w:t>Ионообменные методы очистки веществ: Учебное пособие</w:t>
      </w:r>
      <w:r>
        <w:rPr>
          <w:rFonts w:ascii="Times New Roman" w:hAnsi="Times New Roman"/>
          <w:sz w:val="24"/>
          <w:szCs w:val="24"/>
        </w:rPr>
        <w:t>.</w:t>
      </w:r>
      <w:r w:rsidRPr="00505412">
        <w:rPr>
          <w:rFonts w:ascii="Times New Roman" w:hAnsi="Times New Roman"/>
          <w:sz w:val="24"/>
          <w:szCs w:val="24"/>
        </w:rPr>
        <w:t xml:space="preserve"> / Под. ред. Г.А. </w:t>
      </w:r>
      <w:proofErr w:type="spellStart"/>
      <w:r w:rsidRPr="00505412">
        <w:rPr>
          <w:rFonts w:ascii="Times New Roman" w:hAnsi="Times New Roman"/>
          <w:sz w:val="24"/>
          <w:szCs w:val="24"/>
        </w:rPr>
        <w:t>Чикина</w:t>
      </w:r>
      <w:proofErr w:type="spellEnd"/>
      <w:r w:rsidRPr="00505412">
        <w:rPr>
          <w:rFonts w:ascii="Times New Roman" w:hAnsi="Times New Roman"/>
          <w:sz w:val="24"/>
          <w:szCs w:val="24"/>
        </w:rPr>
        <w:t xml:space="preserve">, О.Н. Мягкого. </w:t>
      </w:r>
      <w:proofErr w:type="gramStart"/>
      <w:r w:rsidRPr="00505412">
        <w:t>–</w:t>
      </w:r>
      <w:r w:rsidRPr="00505412">
        <w:rPr>
          <w:rFonts w:ascii="Times New Roman" w:hAnsi="Times New Roman"/>
          <w:sz w:val="24"/>
          <w:szCs w:val="24"/>
        </w:rPr>
        <w:t>В</w:t>
      </w:r>
      <w:proofErr w:type="gramEnd"/>
      <w:r w:rsidRPr="00505412">
        <w:rPr>
          <w:rFonts w:ascii="Times New Roman" w:hAnsi="Times New Roman"/>
          <w:sz w:val="24"/>
          <w:szCs w:val="24"/>
        </w:rPr>
        <w:t>ор</w:t>
      </w:r>
      <w:r>
        <w:rPr>
          <w:rFonts w:ascii="Times New Roman" w:hAnsi="Times New Roman"/>
          <w:sz w:val="24"/>
          <w:szCs w:val="24"/>
        </w:rPr>
        <w:t>онеж: Изд-во ВГУ, 1984. – 372 с.</w:t>
      </w:r>
      <w:r w:rsidRPr="00505412">
        <w:rPr>
          <w:rFonts w:ascii="Times New Roman" w:hAnsi="Times New Roman"/>
          <w:sz w:val="24"/>
          <w:szCs w:val="24"/>
        </w:rPr>
        <w:t xml:space="preserve"> </w:t>
      </w:r>
    </w:p>
    <w:p w:rsidR="00BF00CB" w:rsidRPr="007636C9" w:rsidRDefault="00BF00CB" w:rsidP="005123FB">
      <w:pPr>
        <w:spacing w:after="0" w:line="240" w:lineRule="auto"/>
        <w:ind w:left="360"/>
        <w:jc w:val="both"/>
        <w:rPr>
          <w:rFonts w:ascii="Times New Roman" w:hAnsi="Times New Roman" w:cs="Times New Roman"/>
          <w:sz w:val="24"/>
          <w:szCs w:val="24"/>
        </w:rPr>
      </w:pPr>
    </w:p>
    <w:p w:rsidR="00736A7F" w:rsidRDefault="00736A7F" w:rsidP="00196294">
      <w:pPr>
        <w:pStyle w:val="a8"/>
        <w:shd w:val="clear" w:color="auto" w:fill="FFFFFF"/>
        <w:spacing w:before="0" w:beforeAutospacing="0" w:after="0" w:afterAutospacing="0"/>
        <w:ind w:firstLine="454"/>
        <w:jc w:val="both"/>
      </w:pPr>
    </w:p>
    <w:sectPr w:rsidR="00736A7F" w:rsidSect="00717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0F4"/>
    <w:multiLevelType w:val="hybridMultilevel"/>
    <w:tmpl w:val="4CE6971C"/>
    <w:lvl w:ilvl="0" w:tplc="D3E23BBE">
      <w:start w:val="1"/>
      <w:numFmt w:val="decimal"/>
      <w:lvlText w:val="%1."/>
      <w:lvlJc w:val="left"/>
      <w:pPr>
        <w:ind w:left="1236" w:hanging="810"/>
      </w:pPr>
      <w:rPr>
        <w:rFonts w:eastAsia="ArialMT"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1A4BF7"/>
    <w:multiLevelType w:val="hybridMultilevel"/>
    <w:tmpl w:val="23EE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C1DFB"/>
    <w:multiLevelType w:val="hybridMultilevel"/>
    <w:tmpl w:val="9BA46C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F087E02"/>
    <w:multiLevelType w:val="hybridMultilevel"/>
    <w:tmpl w:val="E286C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B35CC"/>
    <w:multiLevelType w:val="hybridMultilevel"/>
    <w:tmpl w:val="AE1E4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37640"/>
    <w:multiLevelType w:val="hybridMultilevel"/>
    <w:tmpl w:val="1ABE4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C9790F"/>
    <w:multiLevelType w:val="hybridMultilevel"/>
    <w:tmpl w:val="CA06EE58"/>
    <w:lvl w:ilvl="0" w:tplc="2820E0E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11CC3"/>
    <w:multiLevelType w:val="hybridMultilevel"/>
    <w:tmpl w:val="A736473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6D5AED"/>
    <w:multiLevelType w:val="hybridMultilevel"/>
    <w:tmpl w:val="27F8CA50"/>
    <w:lvl w:ilvl="0" w:tplc="F13668B8">
      <w:start w:val="1"/>
      <w:numFmt w:val="decimal"/>
      <w:lvlText w:val="%1."/>
      <w:lvlJc w:val="left"/>
      <w:pPr>
        <w:ind w:left="502" w:hanging="360"/>
      </w:pPr>
      <w:rPr>
        <w:rFonts w:ascii="Times New Roman" w:eastAsia="Times New Roman" w:hAnsi="Times New Roman" w:cs="Times New Roman"/>
        <w:b w:val="0"/>
        <w:sz w:val="24"/>
        <w:szCs w:val="24"/>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3"/>
  </w:num>
  <w:num w:numId="3">
    <w:abstractNumId w:val="7"/>
  </w:num>
  <w:num w:numId="4">
    <w:abstractNumId w:val="1"/>
  </w:num>
  <w:num w:numId="5">
    <w:abstractNumId w:val="4"/>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B59E1"/>
    <w:rsid w:val="000029D0"/>
    <w:rsid w:val="000029F5"/>
    <w:rsid w:val="0002317D"/>
    <w:rsid w:val="00044435"/>
    <w:rsid w:val="000509BF"/>
    <w:rsid w:val="0006458E"/>
    <w:rsid w:val="00067AB0"/>
    <w:rsid w:val="00070E8A"/>
    <w:rsid w:val="00074F5D"/>
    <w:rsid w:val="00083C15"/>
    <w:rsid w:val="000A265C"/>
    <w:rsid w:val="000C2FDE"/>
    <w:rsid w:val="000F211C"/>
    <w:rsid w:val="0011135E"/>
    <w:rsid w:val="0011415C"/>
    <w:rsid w:val="00135488"/>
    <w:rsid w:val="00145499"/>
    <w:rsid w:val="00152622"/>
    <w:rsid w:val="00153C5B"/>
    <w:rsid w:val="00156D36"/>
    <w:rsid w:val="00157F28"/>
    <w:rsid w:val="001775A0"/>
    <w:rsid w:val="00185C4D"/>
    <w:rsid w:val="00194962"/>
    <w:rsid w:val="00196294"/>
    <w:rsid w:val="001A3608"/>
    <w:rsid w:val="001B3AC6"/>
    <w:rsid w:val="001B77CC"/>
    <w:rsid w:val="001E0A1B"/>
    <w:rsid w:val="001E3316"/>
    <w:rsid w:val="00202506"/>
    <w:rsid w:val="00227C04"/>
    <w:rsid w:val="00262C6C"/>
    <w:rsid w:val="002958FF"/>
    <w:rsid w:val="002A4BD8"/>
    <w:rsid w:val="002B701E"/>
    <w:rsid w:val="002D1BA1"/>
    <w:rsid w:val="002D7330"/>
    <w:rsid w:val="002F2484"/>
    <w:rsid w:val="002F4B87"/>
    <w:rsid w:val="00306C83"/>
    <w:rsid w:val="00307662"/>
    <w:rsid w:val="003720A1"/>
    <w:rsid w:val="00385F04"/>
    <w:rsid w:val="003B33B7"/>
    <w:rsid w:val="003C009F"/>
    <w:rsid w:val="003F6C0E"/>
    <w:rsid w:val="00404840"/>
    <w:rsid w:val="00416A9F"/>
    <w:rsid w:val="00423EB8"/>
    <w:rsid w:val="00446760"/>
    <w:rsid w:val="004524B2"/>
    <w:rsid w:val="004603A7"/>
    <w:rsid w:val="00485B31"/>
    <w:rsid w:val="00492D86"/>
    <w:rsid w:val="004C53DF"/>
    <w:rsid w:val="004D050A"/>
    <w:rsid w:val="004D3DD7"/>
    <w:rsid w:val="004E4DC7"/>
    <w:rsid w:val="005123FB"/>
    <w:rsid w:val="00512CEA"/>
    <w:rsid w:val="0053059F"/>
    <w:rsid w:val="005555D7"/>
    <w:rsid w:val="0056304C"/>
    <w:rsid w:val="00586117"/>
    <w:rsid w:val="005A5E73"/>
    <w:rsid w:val="005C00CD"/>
    <w:rsid w:val="005C4A80"/>
    <w:rsid w:val="005D61B8"/>
    <w:rsid w:val="00604565"/>
    <w:rsid w:val="00604796"/>
    <w:rsid w:val="006053E2"/>
    <w:rsid w:val="00642DE6"/>
    <w:rsid w:val="0069139E"/>
    <w:rsid w:val="006A3E93"/>
    <w:rsid w:val="006A6326"/>
    <w:rsid w:val="006C19AF"/>
    <w:rsid w:val="006D1C6E"/>
    <w:rsid w:val="006F4DA9"/>
    <w:rsid w:val="00713AF9"/>
    <w:rsid w:val="007172A8"/>
    <w:rsid w:val="007172C3"/>
    <w:rsid w:val="00721E1C"/>
    <w:rsid w:val="00722FF5"/>
    <w:rsid w:val="00725B4B"/>
    <w:rsid w:val="00727DEA"/>
    <w:rsid w:val="00733623"/>
    <w:rsid w:val="00736A7F"/>
    <w:rsid w:val="0075385C"/>
    <w:rsid w:val="007636C9"/>
    <w:rsid w:val="00767780"/>
    <w:rsid w:val="00776ECC"/>
    <w:rsid w:val="007B02D2"/>
    <w:rsid w:val="007C7E2D"/>
    <w:rsid w:val="007D7AAE"/>
    <w:rsid w:val="00813DDE"/>
    <w:rsid w:val="00824EC8"/>
    <w:rsid w:val="008339BF"/>
    <w:rsid w:val="00853F23"/>
    <w:rsid w:val="00854E4E"/>
    <w:rsid w:val="00861F5B"/>
    <w:rsid w:val="00863D29"/>
    <w:rsid w:val="008928D0"/>
    <w:rsid w:val="008B5A99"/>
    <w:rsid w:val="008C1831"/>
    <w:rsid w:val="008E6AF0"/>
    <w:rsid w:val="008F2A17"/>
    <w:rsid w:val="0090339B"/>
    <w:rsid w:val="00910B78"/>
    <w:rsid w:val="00945817"/>
    <w:rsid w:val="0097082B"/>
    <w:rsid w:val="0099515F"/>
    <w:rsid w:val="009D0511"/>
    <w:rsid w:val="009D4326"/>
    <w:rsid w:val="009F3622"/>
    <w:rsid w:val="00A52CC6"/>
    <w:rsid w:val="00A60594"/>
    <w:rsid w:val="00A8360D"/>
    <w:rsid w:val="00A853D8"/>
    <w:rsid w:val="00A910C3"/>
    <w:rsid w:val="00AB2BDA"/>
    <w:rsid w:val="00AB572E"/>
    <w:rsid w:val="00AB59E1"/>
    <w:rsid w:val="00AE38D6"/>
    <w:rsid w:val="00B00449"/>
    <w:rsid w:val="00B01D05"/>
    <w:rsid w:val="00B12C98"/>
    <w:rsid w:val="00B26326"/>
    <w:rsid w:val="00B64FE5"/>
    <w:rsid w:val="00B7352F"/>
    <w:rsid w:val="00BA131B"/>
    <w:rsid w:val="00BA531B"/>
    <w:rsid w:val="00BF00CB"/>
    <w:rsid w:val="00C46D76"/>
    <w:rsid w:val="00C70585"/>
    <w:rsid w:val="00C74DF0"/>
    <w:rsid w:val="00CA1FB9"/>
    <w:rsid w:val="00CA4895"/>
    <w:rsid w:val="00CB409B"/>
    <w:rsid w:val="00CE0A1B"/>
    <w:rsid w:val="00CE38B0"/>
    <w:rsid w:val="00CF08FF"/>
    <w:rsid w:val="00CF7948"/>
    <w:rsid w:val="00D14AC7"/>
    <w:rsid w:val="00D17E52"/>
    <w:rsid w:val="00D215C8"/>
    <w:rsid w:val="00D270DF"/>
    <w:rsid w:val="00D42EB1"/>
    <w:rsid w:val="00D703C8"/>
    <w:rsid w:val="00D71DFD"/>
    <w:rsid w:val="00D750B4"/>
    <w:rsid w:val="00D81910"/>
    <w:rsid w:val="00D85E4A"/>
    <w:rsid w:val="00D950A5"/>
    <w:rsid w:val="00DA0ABF"/>
    <w:rsid w:val="00DA279E"/>
    <w:rsid w:val="00DA3301"/>
    <w:rsid w:val="00DA62EE"/>
    <w:rsid w:val="00DC14FF"/>
    <w:rsid w:val="00DF4DCA"/>
    <w:rsid w:val="00E00A80"/>
    <w:rsid w:val="00E205A5"/>
    <w:rsid w:val="00E4258D"/>
    <w:rsid w:val="00E60188"/>
    <w:rsid w:val="00EA069B"/>
    <w:rsid w:val="00EB768F"/>
    <w:rsid w:val="00EC11A7"/>
    <w:rsid w:val="00EF5C02"/>
    <w:rsid w:val="00EF787B"/>
    <w:rsid w:val="00F2211B"/>
    <w:rsid w:val="00F312DF"/>
    <w:rsid w:val="00F32E54"/>
    <w:rsid w:val="00F35F19"/>
    <w:rsid w:val="00F741BA"/>
    <w:rsid w:val="00F8661D"/>
    <w:rsid w:val="00F9389E"/>
    <w:rsid w:val="00F967F4"/>
    <w:rsid w:val="00FB4E90"/>
    <w:rsid w:val="00FB703E"/>
    <w:rsid w:val="00FC5901"/>
    <w:rsid w:val="00FD5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61F5B"/>
  </w:style>
  <w:style w:type="paragraph" w:styleId="a3">
    <w:name w:val="List Paragraph"/>
    <w:basedOn w:val="a"/>
    <w:uiPriority w:val="34"/>
    <w:qFormat/>
    <w:rsid w:val="00E205A5"/>
    <w:pPr>
      <w:ind w:left="720"/>
      <w:contextualSpacing/>
    </w:pPr>
  </w:style>
  <w:style w:type="paragraph" w:styleId="a4">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
    <w:link w:val="a5"/>
    <w:uiPriority w:val="99"/>
    <w:rsid w:val="00E205A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4"/>
    <w:uiPriority w:val="99"/>
    <w:rsid w:val="00E205A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B4E90"/>
  </w:style>
  <w:style w:type="paragraph" w:styleId="a6">
    <w:name w:val="Balloon Text"/>
    <w:basedOn w:val="a"/>
    <w:link w:val="a7"/>
    <w:uiPriority w:val="99"/>
    <w:semiHidden/>
    <w:unhideWhenUsed/>
    <w:rsid w:val="004E4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DC7"/>
    <w:rPr>
      <w:rFonts w:ascii="Tahoma" w:hAnsi="Tahoma" w:cs="Tahoma"/>
      <w:sz w:val="16"/>
      <w:szCs w:val="16"/>
    </w:rPr>
  </w:style>
  <w:style w:type="paragraph" w:styleId="a8">
    <w:name w:val="Normal (Web)"/>
    <w:basedOn w:val="a"/>
    <w:uiPriority w:val="99"/>
    <w:unhideWhenUsed/>
    <w:rsid w:val="004E4D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72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736A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BF00CB"/>
    <w:rPr>
      <w:b/>
      <w:bCs/>
    </w:rPr>
  </w:style>
  <w:style w:type="paragraph" w:styleId="2">
    <w:name w:val="Body Text Indent 2"/>
    <w:basedOn w:val="a"/>
    <w:link w:val="20"/>
    <w:rsid w:val="00BF00CB"/>
    <w:pPr>
      <w:spacing w:after="120" w:line="480" w:lineRule="auto"/>
      <w:ind w:left="283"/>
    </w:pPr>
    <w:rPr>
      <w:rFonts w:ascii="Times New Roman" w:eastAsia="SimSun" w:hAnsi="Times New Roman" w:cs="Times New Roman"/>
      <w:sz w:val="24"/>
      <w:szCs w:val="24"/>
      <w:lang w:val="x-none" w:eastAsia="zh-CN"/>
    </w:rPr>
  </w:style>
  <w:style w:type="character" w:customStyle="1" w:styleId="20">
    <w:name w:val="Основной текст с отступом 2 Знак"/>
    <w:basedOn w:val="a0"/>
    <w:link w:val="2"/>
    <w:rsid w:val="00BF00CB"/>
    <w:rPr>
      <w:rFonts w:ascii="Times New Roman" w:eastAsia="SimSun" w:hAnsi="Times New Roman" w:cs="Times New Roman"/>
      <w:sz w:val="24"/>
      <w:szCs w:val="24"/>
      <w:lang w:val="x-none" w:eastAsia="zh-CN"/>
    </w:rPr>
  </w:style>
  <w:style w:type="character" w:styleId="ab">
    <w:name w:val="Hyperlink"/>
    <w:basedOn w:val="a0"/>
    <w:uiPriority w:val="99"/>
    <w:unhideWhenUsed/>
    <w:rsid w:val="00070E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61F5B"/>
  </w:style>
  <w:style w:type="paragraph" w:styleId="a3">
    <w:name w:val="List Paragraph"/>
    <w:basedOn w:val="a"/>
    <w:uiPriority w:val="34"/>
    <w:qFormat/>
    <w:rsid w:val="00E205A5"/>
    <w:pPr>
      <w:ind w:left="720"/>
      <w:contextualSpacing/>
    </w:pPr>
  </w:style>
  <w:style w:type="paragraph" w:styleId="a4">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
    <w:link w:val="a5"/>
    <w:uiPriority w:val="99"/>
    <w:rsid w:val="00E205A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4"/>
    <w:uiPriority w:val="99"/>
    <w:rsid w:val="00E205A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B4E90"/>
  </w:style>
  <w:style w:type="paragraph" w:styleId="a6">
    <w:name w:val="Balloon Text"/>
    <w:basedOn w:val="a"/>
    <w:link w:val="a7"/>
    <w:uiPriority w:val="99"/>
    <w:semiHidden/>
    <w:unhideWhenUsed/>
    <w:rsid w:val="004E4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DC7"/>
    <w:rPr>
      <w:rFonts w:ascii="Tahoma" w:hAnsi="Tahoma" w:cs="Tahoma"/>
      <w:sz w:val="16"/>
      <w:szCs w:val="16"/>
    </w:rPr>
  </w:style>
  <w:style w:type="paragraph" w:styleId="a8">
    <w:name w:val="Normal (Web)"/>
    <w:basedOn w:val="a"/>
    <w:uiPriority w:val="99"/>
    <w:unhideWhenUsed/>
    <w:rsid w:val="004E4D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72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396">
      <w:bodyDiv w:val="1"/>
      <w:marLeft w:val="0"/>
      <w:marRight w:val="0"/>
      <w:marTop w:val="0"/>
      <w:marBottom w:val="0"/>
      <w:divBdr>
        <w:top w:val="none" w:sz="0" w:space="0" w:color="auto"/>
        <w:left w:val="none" w:sz="0" w:space="0" w:color="auto"/>
        <w:bottom w:val="none" w:sz="0" w:space="0" w:color="auto"/>
        <w:right w:val="none" w:sz="0" w:space="0" w:color="auto"/>
      </w:divBdr>
    </w:div>
    <w:div w:id="236014225">
      <w:bodyDiv w:val="1"/>
      <w:marLeft w:val="0"/>
      <w:marRight w:val="0"/>
      <w:marTop w:val="0"/>
      <w:marBottom w:val="0"/>
      <w:divBdr>
        <w:top w:val="none" w:sz="0" w:space="0" w:color="auto"/>
        <w:left w:val="none" w:sz="0" w:space="0" w:color="auto"/>
        <w:bottom w:val="none" w:sz="0" w:space="0" w:color="auto"/>
        <w:right w:val="none" w:sz="0" w:space="0" w:color="auto"/>
      </w:divBdr>
    </w:div>
    <w:div w:id="266154489">
      <w:bodyDiv w:val="1"/>
      <w:marLeft w:val="0"/>
      <w:marRight w:val="0"/>
      <w:marTop w:val="0"/>
      <w:marBottom w:val="0"/>
      <w:divBdr>
        <w:top w:val="none" w:sz="0" w:space="0" w:color="auto"/>
        <w:left w:val="none" w:sz="0" w:space="0" w:color="auto"/>
        <w:bottom w:val="none" w:sz="0" w:space="0" w:color="auto"/>
        <w:right w:val="none" w:sz="0" w:space="0" w:color="auto"/>
      </w:divBdr>
    </w:div>
    <w:div w:id="275329058">
      <w:bodyDiv w:val="1"/>
      <w:marLeft w:val="0"/>
      <w:marRight w:val="0"/>
      <w:marTop w:val="0"/>
      <w:marBottom w:val="0"/>
      <w:divBdr>
        <w:top w:val="none" w:sz="0" w:space="0" w:color="auto"/>
        <w:left w:val="none" w:sz="0" w:space="0" w:color="auto"/>
        <w:bottom w:val="none" w:sz="0" w:space="0" w:color="auto"/>
        <w:right w:val="none" w:sz="0" w:space="0" w:color="auto"/>
      </w:divBdr>
    </w:div>
    <w:div w:id="402801135">
      <w:bodyDiv w:val="1"/>
      <w:marLeft w:val="0"/>
      <w:marRight w:val="0"/>
      <w:marTop w:val="0"/>
      <w:marBottom w:val="0"/>
      <w:divBdr>
        <w:top w:val="none" w:sz="0" w:space="0" w:color="auto"/>
        <w:left w:val="none" w:sz="0" w:space="0" w:color="auto"/>
        <w:bottom w:val="none" w:sz="0" w:space="0" w:color="auto"/>
        <w:right w:val="none" w:sz="0" w:space="0" w:color="auto"/>
      </w:divBdr>
    </w:div>
    <w:div w:id="987708409">
      <w:bodyDiv w:val="1"/>
      <w:marLeft w:val="0"/>
      <w:marRight w:val="0"/>
      <w:marTop w:val="0"/>
      <w:marBottom w:val="0"/>
      <w:divBdr>
        <w:top w:val="none" w:sz="0" w:space="0" w:color="auto"/>
        <w:left w:val="none" w:sz="0" w:space="0" w:color="auto"/>
        <w:bottom w:val="none" w:sz="0" w:space="0" w:color="auto"/>
        <w:right w:val="none" w:sz="0" w:space="0" w:color="auto"/>
      </w:divBdr>
    </w:div>
    <w:div w:id="1030448447">
      <w:bodyDiv w:val="1"/>
      <w:marLeft w:val="0"/>
      <w:marRight w:val="0"/>
      <w:marTop w:val="0"/>
      <w:marBottom w:val="0"/>
      <w:divBdr>
        <w:top w:val="none" w:sz="0" w:space="0" w:color="auto"/>
        <w:left w:val="none" w:sz="0" w:space="0" w:color="auto"/>
        <w:bottom w:val="none" w:sz="0" w:space="0" w:color="auto"/>
        <w:right w:val="none" w:sz="0" w:space="0" w:color="auto"/>
      </w:divBdr>
    </w:div>
    <w:div w:id="1035041843">
      <w:bodyDiv w:val="1"/>
      <w:marLeft w:val="0"/>
      <w:marRight w:val="0"/>
      <w:marTop w:val="0"/>
      <w:marBottom w:val="0"/>
      <w:divBdr>
        <w:top w:val="none" w:sz="0" w:space="0" w:color="auto"/>
        <w:left w:val="none" w:sz="0" w:space="0" w:color="auto"/>
        <w:bottom w:val="none" w:sz="0" w:space="0" w:color="auto"/>
        <w:right w:val="none" w:sz="0" w:space="0" w:color="auto"/>
      </w:divBdr>
    </w:div>
    <w:div w:id="1230924424">
      <w:bodyDiv w:val="1"/>
      <w:marLeft w:val="0"/>
      <w:marRight w:val="0"/>
      <w:marTop w:val="0"/>
      <w:marBottom w:val="0"/>
      <w:divBdr>
        <w:top w:val="none" w:sz="0" w:space="0" w:color="auto"/>
        <w:left w:val="none" w:sz="0" w:space="0" w:color="auto"/>
        <w:bottom w:val="none" w:sz="0" w:space="0" w:color="auto"/>
        <w:right w:val="none" w:sz="0" w:space="0" w:color="auto"/>
      </w:divBdr>
    </w:div>
    <w:div w:id="1609119347">
      <w:bodyDiv w:val="1"/>
      <w:marLeft w:val="0"/>
      <w:marRight w:val="0"/>
      <w:marTop w:val="0"/>
      <w:marBottom w:val="0"/>
      <w:divBdr>
        <w:top w:val="none" w:sz="0" w:space="0" w:color="auto"/>
        <w:left w:val="none" w:sz="0" w:space="0" w:color="auto"/>
        <w:bottom w:val="none" w:sz="0" w:space="0" w:color="auto"/>
        <w:right w:val="none" w:sz="0" w:space="0" w:color="auto"/>
      </w:divBdr>
    </w:div>
    <w:div w:id="1844662475">
      <w:bodyDiv w:val="1"/>
      <w:marLeft w:val="0"/>
      <w:marRight w:val="0"/>
      <w:marTop w:val="0"/>
      <w:marBottom w:val="0"/>
      <w:divBdr>
        <w:top w:val="none" w:sz="0" w:space="0" w:color="auto"/>
        <w:left w:val="none" w:sz="0" w:space="0" w:color="auto"/>
        <w:bottom w:val="none" w:sz="0" w:space="0" w:color="auto"/>
        <w:right w:val="none" w:sz="0" w:space="0" w:color="auto"/>
      </w:divBdr>
    </w:div>
    <w:div w:id="1917205739">
      <w:bodyDiv w:val="1"/>
      <w:marLeft w:val="0"/>
      <w:marRight w:val="0"/>
      <w:marTop w:val="0"/>
      <w:marBottom w:val="0"/>
      <w:divBdr>
        <w:top w:val="none" w:sz="0" w:space="0" w:color="auto"/>
        <w:left w:val="none" w:sz="0" w:space="0" w:color="auto"/>
        <w:bottom w:val="none" w:sz="0" w:space="0" w:color="auto"/>
        <w:right w:val="none" w:sz="0" w:space="0" w:color="auto"/>
      </w:divBdr>
    </w:div>
    <w:div w:id="20049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1053;&#1080;&#1085;&#1072;\&#1048;&#1079;&#1086;&#1090;&#1077;&#1088;&#1084;&#1099;%20&#1084;&#1072;&#1088;&#1075;&#1072;&#1085;&#1077;&#1094;.%20&#1042;&#1072;&#1083;&#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3;&#1080;&#1085;&#1072;\&#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21615740073797"/>
          <c:y val="4.6296296296296412E-2"/>
          <c:w val="0.80003316926830437"/>
          <c:h val="0.7658945756780422"/>
        </c:manualLayout>
      </c:layout>
      <c:scatterChart>
        <c:scatterStyle val="smoothMarker"/>
        <c:varyColors val="0"/>
        <c:ser>
          <c:idx val="1"/>
          <c:order val="0"/>
          <c:tx>
            <c:v>КБ-2Э-16</c:v>
          </c:tx>
          <c:spPr>
            <a:ln w="19050">
              <a:solidFill>
                <a:schemeClr val="tx1"/>
              </a:solidFill>
            </a:ln>
          </c:spPr>
          <c:marker>
            <c:symbol val="square"/>
            <c:size val="5"/>
            <c:spPr>
              <a:solidFill>
                <a:schemeClr val="accent4">
                  <a:lumMod val="60000"/>
                  <a:lumOff val="40000"/>
                </a:schemeClr>
              </a:solidFill>
              <a:ln>
                <a:solidFill>
                  <a:schemeClr val="tx1"/>
                </a:solidFill>
              </a:ln>
            </c:spPr>
          </c:marker>
          <c:xVal>
            <c:numRef>
              <c:f>Лист1!$C$19:$C$25</c:f>
              <c:numCache>
                <c:formatCode>General</c:formatCode>
                <c:ptCount val="7"/>
                <c:pt idx="0">
                  <c:v>0</c:v>
                </c:pt>
                <c:pt idx="1">
                  <c:v>0.27</c:v>
                </c:pt>
                <c:pt idx="2">
                  <c:v>0.81</c:v>
                </c:pt>
                <c:pt idx="3">
                  <c:v>1.08</c:v>
                </c:pt>
                <c:pt idx="4">
                  <c:v>1.22</c:v>
                </c:pt>
                <c:pt idx="5">
                  <c:v>2.5099999999999998</c:v>
                </c:pt>
              </c:numCache>
            </c:numRef>
          </c:xVal>
          <c:yVal>
            <c:numRef>
              <c:f>Лист1!$D$19:$D$25</c:f>
              <c:numCache>
                <c:formatCode>General</c:formatCode>
                <c:ptCount val="7"/>
                <c:pt idx="0">
                  <c:v>0</c:v>
                </c:pt>
                <c:pt idx="1">
                  <c:v>0.93</c:v>
                </c:pt>
                <c:pt idx="2">
                  <c:v>1.8</c:v>
                </c:pt>
                <c:pt idx="3">
                  <c:v>2.73</c:v>
                </c:pt>
                <c:pt idx="4">
                  <c:v>3.69</c:v>
                </c:pt>
                <c:pt idx="5">
                  <c:v>4.37</c:v>
                </c:pt>
              </c:numCache>
            </c:numRef>
          </c:yVal>
          <c:smooth val="1"/>
        </c:ser>
        <c:ser>
          <c:idx val="0"/>
          <c:order val="1"/>
          <c:tx>
            <c:v>Токем-250</c:v>
          </c:tx>
          <c:spPr>
            <a:ln w="19050">
              <a:solidFill>
                <a:schemeClr val="tx1"/>
              </a:solidFill>
            </a:ln>
          </c:spPr>
          <c:marker>
            <c:symbol val="circle"/>
            <c:size val="5"/>
            <c:spPr>
              <a:solidFill>
                <a:schemeClr val="accent5">
                  <a:lumMod val="60000"/>
                  <a:lumOff val="40000"/>
                </a:schemeClr>
              </a:solidFill>
              <a:ln>
                <a:solidFill>
                  <a:schemeClr val="tx1"/>
                </a:solidFill>
              </a:ln>
            </c:spPr>
          </c:marker>
          <c:xVal>
            <c:numRef>
              <c:f>Лист1!$C$3:$C$9</c:f>
              <c:numCache>
                <c:formatCode>General</c:formatCode>
                <c:ptCount val="7"/>
                <c:pt idx="0">
                  <c:v>0</c:v>
                </c:pt>
                <c:pt idx="1">
                  <c:v>0.44</c:v>
                </c:pt>
                <c:pt idx="2">
                  <c:v>0.98</c:v>
                </c:pt>
                <c:pt idx="3">
                  <c:v>2.1800000000000002</c:v>
                </c:pt>
                <c:pt idx="4">
                  <c:v>3.17</c:v>
                </c:pt>
                <c:pt idx="5">
                  <c:v>3.96</c:v>
                </c:pt>
                <c:pt idx="6">
                  <c:v>6.9</c:v>
                </c:pt>
              </c:numCache>
            </c:numRef>
          </c:xVal>
          <c:yVal>
            <c:numRef>
              <c:f>Лист1!$E$3:$E$9</c:f>
              <c:numCache>
                <c:formatCode>General</c:formatCode>
                <c:ptCount val="7"/>
                <c:pt idx="0">
                  <c:v>0</c:v>
                </c:pt>
                <c:pt idx="1">
                  <c:v>0.89</c:v>
                </c:pt>
                <c:pt idx="2">
                  <c:v>1.75</c:v>
                </c:pt>
                <c:pt idx="3">
                  <c:v>2.4499999999999997</c:v>
                </c:pt>
                <c:pt idx="4">
                  <c:v>3.2</c:v>
                </c:pt>
                <c:pt idx="5">
                  <c:v>4.01</c:v>
                </c:pt>
                <c:pt idx="6">
                  <c:v>4.2699999999999996</c:v>
                </c:pt>
              </c:numCache>
            </c:numRef>
          </c:yVal>
          <c:smooth val="1"/>
        </c:ser>
        <c:dLbls>
          <c:showLegendKey val="0"/>
          <c:showVal val="0"/>
          <c:showCatName val="0"/>
          <c:showSerName val="0"/>
          <c:showPercent val="0"/>
          <c:showBubbleSize val="0"/>
        </c:dLbls>
        <c:axId val="99439360"/>
        <c:axId val="99479552"/>
      </c:scatterChart>
      <c:valAx>
        <c:axId val="99439360"/>
        <c:scaling>
          <c:orientation val="minMax"/>
          <c:max val="7"/>
          <c:min val="0"/>
        </c:scaling>
        <c:delete val="0"/>
        <c:axPos val="b"/>
        <c:title>
          <c:tx>
            <c:rich>
              <a:bodyPr/>
              <a:lstStyle/>
              <a:p>
                <a:pPr>
                  <a:defRPr sz="1050">
                    <a:latin typeface="Arial" panose="020B0604020202020204" pitchFamily="34" charset="0"/>
                    <a:cs typeface="Arial" panose="020B0604020202020204" pitchFamily="34" charset="0"/>
                  </a:defRPr>
                </a:pPr>
                <a:r>
                  <a:rPr lang="ru-RU" sz="1050">
                    <a:latin typeface="Arial" panose="020B0604020202020204" pitchFamily="34" charset="0"/>
                    <a:cs typeface="Arial" panose="020B0604020202020204" pitchFamily="34" charset="0"/>
                  </a:rPr>
                  <a:t>С </a:t>
                </a:r>
                <a:r>
                  <a:rPr lang="ru-RU" sz="1050" baseline="-25000">
                    <a:latin typeface="Arial" panose="020B0604020202020204" pitchFamily="34" charset="0"/>
                    <a:cs typeface="Arial" panose="020B0604020202020204" pitchFamily="34" charset="0"/>
                  </a:rPr>
                  <a:t>равн</a:t>
                </a:r>
                <a:r>
                  <a:rPr lang="ru-RU" sz="1050">
                    <a:latin typeface="Arial" panose="020B0604020202020204" pitchFamily="34" charset="0"/>
                    <a:cs typeface="Arial" panose="020B0604020202020204" pitchFamily="34" charset="0"/>
                  </a:rPr>
                  <a:t>.</a:t>
                </a:r>
                <a:r>
                  <a:rPr lang="en-US" sz="1050" b="1" i="0" u="none" strike="noStrike" baseline="0">
                    <a:effectLst/>
                    <a:latin typeface="Arial" panose="020B0604020202020204" pitchFamily="34" charset="0"/>
                    <a:cs typeface="Arial" panose="020B0604020202020204" pitchFamily="34" charset="0"/>
                  </a:rPr>
                  <a:t>∙</a:t>
                </a:r>
                <a:r>
                  <a:rPr lang="ru-RU" sz="1050" b="1" i="0" u="none" strike="noStrike" baseline="0">
                    <a:effectLst/>
                    <a:latin typeface="Arial" panose="020B0604020202020204" pitchFamily="34" charset="0"/>
                    <a:cs typeface="Arial" panose="020B0604020202020204" pitchFamily="34" charset="0"/>
                  </a:rPr>
                  <a:t>10</a:t>
                </a:r>
                <a:r>
                  <a:rPr lang="ru-RU" sz="1050" b="1" i="0" u="none" strike="noStrike" baseline="30000">
                    <a:effectLst/>
                    <a:latin typeface="Arial" panose="020B0604020202020204" pitchFamily="34" charset="0"/>
                    <a:cs typeface="Arial" panose="020B0604020202020204" pitchFamily="34" charset="0"/>
                  </a:rPr>
                  <a:t>-4</a:t>
                </a:r>
                <a:r>
                  <a:rPr lang="ru-RU" sz="1050" baseline="30000">
                    <a:latin typeface="Arial" panose="020B0604020202020204" pitchFamily="34" charset="0"/>
                    <a:cs typeface="Arial" panose="020B0604020202020204" pitchFamily="34" charset="0"/>
                  </a:rPr>
                  <a:t> </a:t>
                </a:r>
                <a:r>
                  <a:rPr lang="ru-RU" sz="1050">
                    <a:latin typeface="Arial" panose="020B0604020202020204" pitchFamily="34" charset="0"/>
                    <a:cs typeface="Arial" panose="020B0604020202020204" pitchFamily="34" charset="0"/>
                  </a:rPr>
                  <a:t>ммоль-экв/мл</a:t>
                </a:r>
              </a:p>
            </c:rich>
          </c:tx>
          <c:layout>
            <c:manualLayout>
              <c:xMode val="edge"/>
              <c:yMode val="edge"/>
              <c:x val="0.30005722309897181"/>
              <c:y val="0.90536929754454865"/>
            </c:manualLayout>
          </c:layout>
          <c:overlay val="0"/>
        </c:title>
        <c:numFmt formatCode="General" sourceLinked="1"/>
        <c:majorTickMark val="in"/>
        <c:minorTickMark val="none"/>
        <c:tickLblPos val="nextTo"/>
        <c:spPr>
          <a:noFill/>
          <a:ln>
            <a:solidFill>
              <a:schemeClr val="tx1"/>
            </a:solidFill>
          </a:ln>
        </c:spPr>
        <c:txPr>
          <a:bodyPr/>
          <a:lstStyle/>
          <a:p>
            <a:pPr>
              <a:defRPr sz="1050" b="1">
                <a:latin typeface="Arial" panose="020B0604020202020204" pitchFamily="34" charset="0"/>
                <a:cs typeface="Arial" panose="020B0604020202020204" pitchFamily="34" charset="0"/>
              </a:defRPr>
            </a:pPr>
            <a:endParaRPr lang="ru-RU"/>
          </a:p>
        </c:txPr>
        <c:crossAx val="99479552"/>
        <c:crosses val="autoZero"/>
        <c:crossBetween val="midCat"/>
        <c:majorUnit val="1"/>
      </c:valAx>
      <c:valAx>
        <c:axId val="99479552"/>
        <c:scaling>
          <c:orientation val="minMax"/>
          <c:max val="5"/>
          <c:min val="0"/>
        </c:scaling>
        <c:delete val="0"/>
        <c:axPos val="l"/>
        <c:title>
          <c:tx>
            <c:rich>
              <a:bodyPr rot="-5400000" vert="horz"/>
              <a:lstStyle/>
              <a:p>
                <a:pPr>
                  <a:defRPr sz="1050"/>
                </a:pPr>
                <a:r>
                  <a:rPr lang="ru-RU" sz="1050">
                    <a:latin typeface="Arial" panose="020B0604020202020204" pitchFamily="34" charset="0"/>
                    <a:cs typeface="Arial" panose="020B0604020202020204" pitchFamily="34" charset="0"/>
                  </a:rPr>
                  <a:t>С</a:t>
                </a:r>
                <a:r>
                  <a:rPr lang="ru-RU" sz="1050" baseline="0">
                    <a:latin typeface="Arial" panose="020B0604020202020204" pitchFamily="34" charset="0"/>
                    <a:cs typeface="Arial" panose="020B0604020202020204" pitchFamily="34" charset="0"/>
                  </a:rPr>
                  <a:t> </a:t>
                </a:r>
                <a:r>
                  <a:rPr lang="ru-RU" sz="1050" baseline="-25000">
                    <a:latin typeface="Arial" panose="020B0604020202020204" pitchFamily="34" charset="0"/>
                    <a:cs typeface="Arial" panose="020B0604020202020204" pitchFamily="34" charset="0"/>
                  </a:rPr>
                  <a:t>ион.</a:t>
                </a:r>
                <a:r>
                  <a:rPr lang="ru-RU" sz="1050" baseline="0">
                    <a:latin typeface="Arial" panose="020B0604020202020204" pitchFamily="34" charset="0"/>
                    <a:cs typeface="Arial" panose="020B0604020202020204" pitchFamily="34" charset="0"/>
                  </a:rPr>
                  <a:t>∙10</a:t>
                </a:r>
                <a:r>
                  <a:rPr lang="ru-RU" sz="1050" baseline="30000">
                    <a:latin typeface="Arial" panose="020B0604020202020204" pitchFamily="34" charset="0"/>
                    <a:cs typeface="Arial" panose="020B0604020202020204" pitchFamily="34" charset="0"/>
                  </a:rPr>
                  <a:t>-2</a:t>
                </a:r>
                <a:r>
                  <a:rPr lang="ru-RU" sz="1050" baseline="0">
                    <a:latin typeface="Arial" panose="020B0604020202020204" pitchFamily="34" charset="0"/>
                    <a:cs typeface="Arial" panose="020B0604020202020204" pitchFamily="34" charset="0"/>
                  </a:rPr>
                  <a:t>, ммоль-экв/г </a:t>
                </a:r>
                <a:endParaRPr lang="ru-RU" sz="1050">
                  <a:latin typeface="Arial" panose="020B0604020202020204" pitchFamily="34" charset="0"/>
                  <a:cs typeface="Arial" panose="020B0604020202020204" pitchFamily="34" charset="0"/>
                </a:endParaRPr>
              </a:p>
            </c:rich>
          </c:tx>
          <c:overlay val="0"/>
        </c:title>
        <c:numFmt formatCode="General" sourceLinked="1"/>
        <c:majorTickMark val="in"/>
        <c:minorTickMark val="none"/>
        <c:tickLblPos val="nextTo"/>
        <c:spPr>
          <a:ln>
            <a:solidFill>
              <a:schemeClr val="tx1"/>
            </a:solidFill>
          </a:ln>
        </c:spPr>
        <c:txPr>
          <a:bodyPr/>
          <a:lstStyle/>
          <a:p>
            <a:pPr>
              <a:defRPr sz="1050" b="1">
                <a:latin typeface="Arial" panose="020B0604020202020204" pitchFamily="34" charset="0"/>
                <a:cs typeface="Arial" panose="020B0604020202020204" pitchFamily="34" charset="0"/>
              </a:defRPr>
            </a:pPr>
            <a:endParaRPr lang="ru-RU"/>
          </a:p>
        </c:txPr>
        <c:crossAx val="99439360"/>
        <c:crosses val="autoZero"/>
        <c:crossBetween val="midCat"/>
        <c:majorUnit val="1"/>
      </c:valAx>
    </c:plotArea>
    <c:legend>
      <c:legendPos val="r"/>
      <c:layout>
        <c:manualLayout>
          <c:xMode val="edge"/>
          <c:yMode val="edge"/>
          <c:x val="0.52421075049955068"/>
          <c:y val="0.43943095654709835"/>
          <c:w val="0.41289031475792881"/>
          <c:h val="0.19631810532376143"/>
        </c:manualLayout>
      </c:layout>
      <c:overlay val="0"/>
      <c:txPr>
        <a:bodyPr/>
        <a:lstStyle/>
        <a:p>
          <a:pPr>
            <a:defRPr sz="1050" b="1">
              <a:latin typeface="Arial" panose="020B0604020202020204" pitchFamily="34" charset="0"/>
              <a:cs typeface="Arial" panose="020B0604020202020204" pitchFamily="34"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4421780723609"/>
          <c:y val="0.11118560493745813"/>
          <c:w val="0.83820654896770252"/>
          <c:h val="0.69643308184803132"/>
        </c:manualLayout>
      </c:layout>
      <c:scatterChart>
        <c:scatterStyle val="smoothMarker"/>
        <c:varyColors val="0"/>
        <c:ser>
          <c:idx val="0"/>
          <c:order val="0"/>
          <c:tx>
            <c:v>КБ-2Э-16</c:v>
          </c:tx>
          <c:spPr>
            <a:ln w="19050">
              <a:solidFill>
                <a:schemeClr val="tx1"/>
              </a:solidFill>
            </a:ln>
          </c:spPr>
          <c:marker>
            <c:symbol val="square"/>
            <c:size val="5"/>
            <c:spPr>
              <a:solidFill>
                <a:schemeClr val="accent4">
                  <a:lumMod val="60000"/>
                  <a:lumOff val="40000"/>
                </a:schemeClr>
              </a:solidFill>
              <a:ln>
                <a:solidFill>
                  <a:schemeClr val="tx1"/>
                </a:solidFill>
              </a:ln>
            </c:spPr>
          </c:marker>
          <c:xVal>
            <c:numRef>
              <c:f>Лист1!$A$2:$A$10</c:f>
              <c:numCache>
                <c:formatCode>General</c:formatCode>
                <c:ptCount val="9"/>
                <c:pt idx="0">
                  <c:v>0</c:v>
                </c:pt>
                <c:pt idx="1">
                  <c:v>10</c:v>
                </c:pt>
                <c:pt idx="2">
                  <c:v>20</c:v>
                </c:pt>
                <c:pt idx="3">
                  <c:v>30</c:v>
                </c:pt>
                <c:pt idx="4">
                  <c:v>40</c:v>
                </c:pt>
                <c:pt idx="5">
                  <c:v>50</c:v>
                </c:pt>
                <c:pt idx="6">
                  <c:v>60</c:v>
                </c:pt>
                <c:pt idx="7">
                  <c:v>70</c:v>
                </c:pt>
                <c:pt idx="8">
                  <c:v>80</c:v>
                </c:pt>
              </c:numCache>
            </c:numRef>
          </c:xVal>
          <c:yVal>
            <c:numRef>
              <c:f>Лист1!$E$2:$E$10</c:f>
              <c:numCache>
                <c:formatCode>General</c:formatCode>
                <c:ptCount val="9"/>
                <c:pt idx="0">
                  <c:v>0</c:v>
                </c:pt>
                <c:pt idx="1">
                  <c:v>0</c:v>
                </c:pt>
                <c:pt idx="2">
                  <c:v>2.5000000000000001E-2</c:v>
                </c:pt>
                <c:pt idx="3">
                  <c:v>0.45</c:v>
                </c:pt>
                <c:pt idx="4">
                  <c:v>0.82500000000000062</c:v>
                </c:pt>
                <c:pt idx="5">
                  <c:v>0.93750000000000011</c:v>
                </c:pt>
                <c:pt idx="6">
                  <c:v>0.97500000000000064</c:v>
                </c:pt>
                <c:pt idx="7">
                  <c:v>0.98750000000000016</c:v>
                </c:pt>
                <c:pt idx="8">
                  <c:v>1.0000000000000002</c:v>
                </c:pt>
              </c:numCache>
            </c:numRef>
          </c:yVal>
          <c:smooth val="1"/>
        </c:ser>
        <c:ser>
          <c:idx val="1"/>
          <c:order val="1"/>
          <c:tx>
            <c:v>Токем-250</c:v>
          </c:tx>
          <c:spPr>
            <a:ln w="19050">
              <a:solidFill>
                <a:schemeClr val="tx1"/>
              </a:solidFill>
            </a:ln>
          </c:spPr>
          <c:marker>
            <c:symbol val="circle"/>
            <c:size val="5"/>
            <c:spPr>
              <a:solidFill>
                <a:schemeClr val="accent5">
                  <a:lumMod val="60000"/>
                  <a:lumOff val="40000"/>
                </a:schemeClr>
              </a:solidFill>
              <a:ln>
                <a:solidFill>
                  <a:schemeClr val="tx1"/>
                </a:solidFill>
              </a:ln>
            </c:spPr>
          </c:marker>
          <c:xVal>
            <c:numRef>
              <c:f>Лист1!$B$25:$B$34</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Лист1!$C$25:$C$34</c:f>
              <c:numCache>
                <c:formatCode>General</c:formatCode>
                <c:ptCount val="10"/>
                <c:pt idx="0">
                  <c:v>0</c:v>
                </c:pt>
                <c:pt idx="1">
                  <c:v>0</c:v>
                </c:pt>
                <c:pt idx="2">
                  <c:v>1.4060000000000001E-2</c:v>
                </c:pt>
                <c:pt idx="3">
                  <c:v>0.15600000000000031</c:v>
                </c:pt>
                <c:pt idx="4">
                  <c:v>0.61970000000000136</c:v>
                </c:pt>
                <c:pt idx="5">
                  <c:v>0.76000000000000123</c:v>
                </c:pt>
                <c:pt idx="6">
                  <c:v>0.83380000000000065</c:v>
                </c:pt>
                <c:pt idx="7">
                  <c:v>0.9</c:v>
                </c:pt>
                <c:pt idx="8">
                  <c:v>0.94540000000000002</c:v>
                </c:pt>
                <c:pt idx="9">
                  <c:v>1</c:v>
                </c:pt>
              </c:numCache>
            </c:numRef>
          </c:yVal>
          <c:smooth val="1"/>
        </c:ser>
        <c:dLbls>
          <c:showLegendKey val="0"/>
          <c:showVal val="0"/>
          <c:showCatName val="0"/>
          <c:showSerName val="0"/>
          <c:showPercent val="0"/>
          <c:showBubbleSize val="0"/>
        </c:dLbls>
        <c:axId val="113365376"/>
        <c:axId val="130155648"/>
      </c:scatterChart>
      <c:valAx>
        <c:axId val="113365376"/>
        <c:scaling>
          <c:orientation val="minMax"/>
          <c:max val="100"/>
          <c:min val="0"/>
        </c:scaling>
        <c:delete val="0"/>
        <c:axPos val="b"/>
        <c:title>
          <c:tx>
            <c:rich>
              <a:bodyPr/>
              <a:lstStyle/>
              <a:p>
                <a:pPr>
                  <a:defRPr sz="1200">
                    <a:latin typeface="Arial" panose="020B0604020202020204" pitchFamily="34" charset="0"/>
                    <a:cs typeface="Arial" panose="020B0604020202020204" pitchFamily="34" charset="0"/>
                  </a:defRPr>
                </a:pPr>
                <a:r>
                  <a:rPr lang="en-US" sz="1200" baseline="0">
                    <a:latin typeface="Arial" panose="020B0604020202020204" pitchFamily="34" charset="0"/>
                    <a:cs typeface="Arial" panose="020B0604020202020204" pitchFamily="34" charset="0"/>
                  </a:rPr>
                  <a:t> </a:t>
                </a:r>
                <a:r>
                  <a:rPr lang="en-US" sz="1050" baseline="0">
                    <a:latin typeface="Arial" panose="020B0604020202020204" pitchFamily="34" charset="0"/>
                    <a:cs typeface="Arial" panose="020B0604020202020204" pitchFamily="34" charset="0"/>
                  </a:rPr>
                  <a:t>V</a:t>
                </a:r>
                <a:r>
                  <a:rPr lang="ru-RU" sz="1050" baseline="-25000">
                    <a:latin typeface="Arial" panose="020B0604020202020204" pitchFamily="34" charset="0"/>
                    <a:cs typeface="Arial" panose="020B0604020202020204" pitchFamily="34" charset="0"/>
                  </a:rPr>
                  <a:t>фильтрата</a:t>
                </a:r>
                <a:r>
                  <a:rPr lang="ru-RU" sz="1050">
                    <a:latin typeface="Arial" panose="020B0604020202020204" pitchFamily="34" charset="0"/>
                    <a:cs typeface="Arial" panose="020B0604020202020204" pitchFamily="34" charset="0"/>
                  </a:rPr>
                  <a:t>, мл</a:t>
                </a:r>
              </a:p>
            </c:rich>
          </c:tx>
          <c:layout>
            <c:manualLayout>
              <c:xMode val="edge"/>
              <c:yMode val="edge"/>
              <c:x val="0.66394059716894493"/>
              <c:y val="0.8959033245844269"/>
            </c:manualLayout>
          </c:layout>
          <c:overlay val="0"/>
        </c:title>
        <c:numFmt formatCode="General" sourceLinked="1"/>
        <c:majorTickMark val="in"/>
        <c:minorTickMark val="none"/>
        <c:tickLblPos val="nextTo"/>
        <c:spPr>
          <a:ln>
            <a:solidFill>
              <a:schemeClr val="tx1"/>
            </a:solidFill>
          </a:ln>
        </c:spPr>
        <c:txPr>
          <a:bodyPr/>
          <a:lstStyle/>
          <a:p>
            <a:pPr>
              <a:defRPr sz="1050" b="1">
                <a:latin typeface="Arial" panose="020B0604020202020204" pitchFamily="34" charset="0"/>
                <a:cs typeface="Arial" panose="020B0604020202020204" pitchFamily="34" charset="0"/>
              </a:defRPr>
            </a:pPr>
            <a:endParaRPr lang="ru-RU"/>
          </a:p>
        </c:txPr>
        <c:crossAx val="130155648"/>
        <c:crosses val="autoZero"/>
        <c:crossBetween val="midCat"/>
        <c:majorUnit val="20"/>
      </c:valAx>
      <c:valAx>
        <c:axId val="130155648"/>
        <c:scaling>
          <c:orientation val="minMax"/>
          <c:max val="1"/>
          <c:min val="0"/>
        </c:scaling>
        <c:delete val="0"/>
        <c:axPos val="l"/>
        <c:title>
          <c:tx>
            <c:rich>
              <a:bodyPr rot="0" vert="horz"/>
              <a:lstStyle/>
              <a:p>
                <a:pPr>
                  <a:defRPr/>
                </a:pPr>
                <a:r>
                  <a:rPr lang="en-US" sz="1050">
                    <a:latin typeface="Arial" panose="020B0604020202020204" pitchFamily="34" charset="0"/>
                    <a:cs typeface="Arial" panose="020B0604020202020204" pitchFamily="34" charset="0"/>
                  </a:rPr>
                  <a:t>C/C</a:t>
                </a:r>
                <a:r>
                  <a:rPr lang="en-US" sz="1050" baseline="-25000">
                    <a:latin typeface="Arial" panose="020B0604020202020204" pitchFamily="34" charset="0"/>
                    <a:cs typeface="Arial" panose="020B0604020202020204" pitchFamily="34" charset="0"/>
                  </a:rPr>
                  <a:t>o</a:t>
                </a:r>
                <a:endParaRPr lang="ru-RU" sz="1050" baseline="-25000">
                  <a:latin typeface="Arial" panose="020B0604020202020204" pitchFamily="34" charset="0"/>
                  <a:cs typeface="Arial" panose="020B0604020202020204" pitchFamily="34" charset="0"/>
                </a:endParaRPr>
              </a:p>
            </c:rich>
          </c:tx>
          <c:layout>
            <c:manualLayout>
              <c:xMode val="edge"/>
              <c:yMode val="edge"/>
              <c:x val="9.1168091168091228E-2"/>
              <c:y val="1.7924321959755081E-2"/>
            </c:manualLayout>
          </c:layout>
          <c:overlay val="0"/>
        </c:title>
        <c:numFmt formatCode="General" sourceLinked="1"/>
        <c:majorTickMark val="in"/>
        <c:minorTickMark val="none"/>
        <c:tickLblPos val="nextTo"/>
        <c:spPr>
          <a:noFill/>
          <a:ln>
            <a:solidFill>
              <a:schemeClr val="tx1"/>
            </a:solidFill>
          </a:ln>
        </c:spPr>
        <c:txPr>
          <a:bodyPr/>
          <a:lstStyle/>
          <a:p>
            <a:pPr>
              <a:defRPr sz="1050" b="1">
                <a:latin typeface="Arial" panose="020B0604020202020204" pitchFamily="34" charset="0"/>
                <a:cs typeface="Arial" panose="020B0604020202020204" pitchFamily="34" charset="0"/>
              </a:defRPr>
            </a:pPr>
            <a:endParaRPr lang="ru-RU"/>
          </a:p>
        </c:txPr>
        <c:crossAx val="113365376"/>
        <c:crosses val="autoZero"/>
        <c:crossBetween val="midCat"/>
        <c:majorUnit val="0.2"/>
      </c:valAx>
    </c:plotArea>
    <c:legend>
      <c:legendPos val="r"/>
      <c:layout>
        <c:manualLayout>
          <c:xMode val="edge"/>
          <c:yMode val="edge"/>
          <c:x val="0.51175768783712228"/>
          <c:y val="0.50931703620729407"/>
          <c:w val="0.43683257588412389"/>
          <c:h val="0.17848060659084294"/>
        </c:manualLayout>
      </c:layout>
      <c:overlay val="0"/>
      <c:txPr>
        <a:bodyPr/>
        <a:lstStyle/>
        <a:p>
          <a:pPr>
            <a:defRPr sz="1050" b="1">
              <a:latin typeface="Arial" panose="020B0604020202020204" pitchFamily="34" charset="0"/>
              <a:cs typeface="Arial" panose="020B0604020202020204" pitchFamily="34" charset="0"/>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CB6F-6B20-478D-B656-2900BF62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Валенька и Сашенька</dc:creator>
  <cp:keywords/>
  <dc:description/>
  <cp:lastModifiedBy>Валенька и Сашенька</cp:lastModifiedBy>
  <cp:revision>55</cp:revision>
  <cp:lastPrinted>2015-08-17T17:02:00Z</cp:lastPrinted>
  <dcterms:created xsi:type="dcterms:W3CDTF">2015-07-28T04:13:00Z</dcterms:created>
  <dcterms:modified xsi:type="dcterms:W3CDTF">2015-08-18T10:19:00Z</dcterms:modified>
</cp:coreProperties>
</file>